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7C" w:rsidRDefault="009B497C"/>
    <w:p w:rsidR="00E43088" w:rsidRDefault="00E43088"/>
    <w:tbl>
      <w:tblPr>
        <w:tblW w:w="10909"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00" w:type="dxa"/>
          <w:bottom w:w="14" w:type="dxa"/>
          <w:right w:w="100" w:type="dxa"/>
        </w:tblCellMar>
        <w:tblLook w:val="0000" w:firstRow="0" w:lastRow="0" w:firstColumn="0" w:lastColumn="0" w:noHBand="0" w:noVBand="0"/>
      </w:tblPr>
      <w:tblGrid>
        <w:gridCol w:w="1625"/>
        <w:gridCol w:w="3916"/>
        <w:gridCol w:w="1665"/>
        <w:gridCol w:w="3703"/>
      </w:tblGrid>
      <w:tr w:rsidR="00E43088" w:rsidTr="00E43088">
        <w:trPr>
          <w:cantSplit/>
          <w:tblHeader/>
          <w:jc w:val="center"/>
        </w:trPr>
        <w:tc>
          <w:tcPr>
            <w:tcW w:w="1625" w:type="dxa"/>
            <w:tcBorders>
              <w:top w:val="single" w:sz="18" w:space="0" w:color="auto"/>
              <w:left w:val="single" w:sz="18" w:space="0" w:color="auto"/>
              <w:bottom w:val="single" w:sz="6" w:space="0" w:color="auto"/>
              <w:right w:val="single" w:sz="6" w:space="0" w:color="auto"/>
            </w:tcBorders>
            <w:shd w:val="clear" w:color="auto" w:fill="E0E0E0"/>
            <w:tcMar>
              <w:top w:w="14" w:type="dxa"/>
              <w:left w:w="58" w:type="dxa"/>
              <w:bottom w:w="14" w:type="dxa"/>
              <w:right w:w="58" w:type="dxa"/>
            </w:tcMar>
            <w:vAlign w:val="center"/>
          </w:tcPr>
          <w:p w:rsidR="00E43088" w:rsidRDefault="00E43088" w:rsidP="00E43088">
            <w:pPr>
              <w:jc w:val="right"/>
              <w:rPr>
                <w:rFonts w:ascii="Arial" w:hAnsi="Arial" w:cs="Arial"/>
                <w:b/>
                <w:bCs/>
                <w:sz w:val="18"/>
                <w:szCs w:val="18"/>
              </w:rPr>
            </w:pPr>
            <w:r>
              <w:rPr>
                <w:rFonts w:ascii="Arial" w:hAnsi="Arial" w:cs="Arial"/>
                <w:b/>
                <w:bCs/>
                <w:sz w:val="18"/>
                <w:szCs w:val="18"/>
              </w:rPr>
              <w:t>Permittee:</w:t>
            </w:r>
          </w:p>
        </w:tc>
        <w:tc>
          <w:tcPr>
            <w:tcW w:w="3916" w:type="dxa"/>
            <w:tcBorders>
              <w:top w:val="single" w:sz="18" w:space="0" w:color="auto"/>
              <w:left w:val="single" w:sz="6" w:space="0" w:color="auto"/>
              <w:bottom w:val="single" w:sz="6" w:space="0" w:color="auto"/>
              <w:right w:val="single" w:sz="6" w:space="0" w:color="auto"/>
            </w:tcBorders>
            <w:shd w:val="clear" w:color="auto" w:fill="auto"/>
            <w:vAlign w:val="center"/>
          </w:tcPr>
          <w:p w:rsidR="00E43088" w:rsidRDefault="006E32FC" w:rsidP="006E32FC">
            <w:pPr>
              <w:rPr>
                <w:rFonts w:ascii="Arial" w:hAnsi="Arial" w:cs="Arial"/>
                <w:b/>
                <w:sz w:val="18"/>
                <w:szCs w:val="18"/>
              </w:rPr>
            </w:pPr>
            <w:r>
              <w:rPr>
                <w:rFonts w:ascii="Arial" w:hAnsi="Arial" w:cs="Arial"/>
                <w:b/>
                <w:sz w:val="18"/>
                <w:szCs w:val="18"/>
              </w:rPr>
              <w:fldChar w:fldCharType="begin">
                <w:ffData>
                  <w:name w:val="Text4"/>
                  <w:enabled/>
                  <w:calcOnExit w:val="0"/>
                  <w:textInput/>
                </w:ffData>
              </w:fldChar>
            </w:r>
            <w:bookmarkStart w:id="0" w:name="Text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bookmarkStart w:id="1" w:name="_GoBack"/>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bookmarkEnd w:id="1"/>
            <w:r>
              <w:rPr>
                <w:rFonts w:ascii="Arial" w:hAnsi="Arial" w:cs="Arial"/>
                <w:b/>
                <w:sz w:val="18"/>
                <w:szCs w:val="18"/>
              </w:rPr>
              <w:fldChar w:fldCharType="end"/>
            </w:r>
            <w:bookmarkEnd w:id="0"/>
          </w:p>
        </w:tc>
        <w:tc>
          <w:tcPr>
            <w:tcW w:w="1665" w:type="dxa"/>
            <w:tcBorders>
              <w:top w:val="single" w:sz="18" w:space="0" w:color="auto"/>
              <w:left w:val="single" w:sz="6" w:space="0" w:color="auto"/>
              <w:bottom w:val="single" w:sz="6" w:space="0" w:color="auto"/>
              <w:right w:val="single" w:sz="6" w:space="0" w:color="auto"/>
            </w:tcBorders>
            <w:shd w:val="clear" w:color="auto" w:fill="E0E0E0"/>
            <w:vAlign w:val="center"/>
          </w:tcPr>
          <w:p w:rsidR="00E43088" w:rsidRDefault="00E43088" w:rsidP="00E43088">
            <w:pPr>
              <w:jc w:val="right"/>
              <w:rPr>
                <w:rFonts w:ascii="Arial" w:hAnsi="Arial" w:cs="Arial"/>
                <w:b/>
                <w:bCs/>
                <w:sz w:val="18"/>
                <w:szCs w:val="18"/>
              </w:rPr>
            </w:pPr>
            <w:r>
              <w:rPr>
                <w:rFonts w:ascii="Arial" w:hAnsi="Arial" w:cs="Arial"/>
                <w:b/>
                <w:bCs/>
                <w:sz w:val="18"/>
                <w:szCs w:val="18"/>
              </w:rPr>
              <w:t>Inventory No.:</w:t>
            </w:r>
          </w:p>
        </w:tc>
        <w:tc>
          <w:tcPr>
            <w:tcW w:w="3703" w:type="dxa"/>
            <w:tcBorders>
              <w:top w:val="single" w:sz="18" w:space="0" w:color="auto"/>
              <w:left w:val="single" w:sz="6" w:space="0" w:color="auto"/>
              <w:bottom w:val="single" w:sz="6" w:space="0" w:color="auto"/>
              <w:right w:val="single" w:sz="18" w:space="0" w:color="auto"/>
            </w:tcBorders>
            <w:shd w:val="clear" w:color="auto" w:fill="auto"/>
            <w:vAlign w:val="center"/>
          </w:tcPr>
          <w:p w:rsidR="00E43088" w:rsidRDefault="006E32FC" w:rsidP="006E32FC">
            <w:pPr>
              <w:ind w:right="-45"/>
              <w:rPr>
                <w:rFonts w:ascii="Arial" w:hAnsi="Arial" w:cs="Arial"/>
                <w:b/>
                <w:sz w:val="18"/>
                <w:szCs w:val="18"/>
              </w:rPr>
            </w:pPr>
            <w:r>
              <w:rPr>
                <w:rFonts w:ascii="Arial" w:hAnsi="Arial" w:cs="Arial"/>
                <w:b/>
                <w:sz w:val="18"/>
                <w:szCs w:val="18"/>
              </w:rPr>
              <w:fldChar w:fldCharType="begin">
                <w:ffData>
                  <w:name w:val="Text9"/>
                  <w:enabled/>
                  <w:calcOnExit w:val="0"/>
                  <w:textInput/>
                </w:ffData>
              </w:fldChar>
            </w:r>
            <w:bookmarkStart w:id="2" w:name="Text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
          </w:p>
        </w:tc>
      </w:tr>
      <w:tr w:rsidR="00E43088" w:rsidTr="002B6B85">
        <w:trPr>
          <w:cantSplit/>
          <w:tblHeader/>
          <w:jc w:val="center"/>
        </w:trPr>
        <w:tc>
          <w:tcPr>
            <w:tcW w:w="1625" w:type="dxa"/>
            <w:tcBorders>
              <w:top w:val="single" w:sz="6" w:space="0" w:color="auto"/>
              <w:left w:val="single" w:sz="18" w:space="0" w:color="auto"/>
              <w:bottom w:val="single" w:sz="6" w:space="0" w:color="auto"/>
              <w:right w:val="single" w:sz="6" w:space="0" w:color="auto"/>
            </w:tcBorders>
            <w:shd w:val="clear" w:color="auto" w:fill="E0E0E0"/>
            <w:tcMar>
              <w:top w:w="14" w:type="dxa"/>
              <w:left w:w="58" w:type="dxa"/>
              <w:bottom w:w="14" w:type="dxa"/>
              <w:right w:w="58" w:type="dxa"/>
            </w:tcMar>
            <w:vAlign w:val="center"/>
          </w:tcPr>
          <w:p w:rsidR="00E43088" w:rsidRDefault="00E43088" w:rsidP="00E43088">
            <w:pPr>
              <w:jc w:val="right"/>
              <w:rPr>
                <w:rFonts w:ascii="Arial" w:hAnsi="Arial" w:cs="Arial"/>
                <w:b/>
                <w:bCs/>
                <w:sz w:val="18"/>
                <w:szCs w:val="18"/>
              </w:rPr>
            </w:pPr>
            <w:r>
              <w:rPr>
                <w:rFonts w:ascii="Arial" w:hAnsi="Arial" w:cs="Arial"/>
                <w:b/>
                <w:bCs/>
                <w:sz w:val="18"/>
                <w:szCs w:val="18"/>
              </w:rPr>
              <w:t>Reviewer:</w:t>
            </w:r>
          </w:p>
        </w:tc>
        <w:tc>
          <w:tcPr>
            <w:tcW w:w="3916" w:type="dxa"/>
            <w:tcBorders>
              <w:top w:val="single" w:sz="6" w:space="0" w:color="auto"/>
              <w:left w:val="single" w:sz="6" w:space="0" w:color="auto"/>
              <w:bottom w:val="single" w:sz="6" w:space="0" w:color="auto"/>
              <w:right w:val="single" w:sz="6" w:space="0" w:color="auto"/>
            </w:tcBorders>
            <w:shd w:val="clear" w:color="auto" w:fill="auto"/>
            <w:vAlign w:val="center"/>
          </w:tcPr>
          <w:p w:rsidR="00E43088" w:rsidRDefault="006E32FC" w:rsidP="00AF7BF2">
            <w:pPr>
              <w:rPr>
                <w:rFonts w:ascii="Arial" w:hAnsi="Arial" w:cs="Arial"/>
                <w:b/>
                <w:sz w:val="18"/>
                <w:szCs w:val="18"/>
              </w:rPr>
            </w:pPr>
            <w:r>
              <w:rPr>
                <w:rFonts w:ascii="Arial" w:hAnsi="Arial" w:cs="Arial"/>
                <w:b/>
                <w:sz w:val="18"/>
                <w:szCs w:val="18"/>
              </w:rPr>
              <w:fldChar w:fldCharType="begin">
                <w:ffData>
                  <w:name w:val="Text5"/>
                  <w:enabled/>
                  <w:calcOnExit w:val="0"/>
                  <w:textInput/>
                </w:ffData>
              </w:fldChar>
            </w:r>
            <w:bookmarkStart w:id="3" w:name="Text5"/>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AF7BF2">
              <w:rPr>
                <w:rFonts w:ascii="Arial" w:hAnsi="Arial" w:cs="Arial"/>
                <w:b/>
                <w:sz w:val="18"/>
                <w:szCs w:val="18"/>
              </w:rPr>
              <w:t> </w:t>
            </w:r>
            <w:r w:rsidR="00AF7BF2">
              <w:rPr>
                <w:rFonts w:ascii="Arial" w:hAnsi="Arial" w:cs="Arial"/>
                <w:b/>
                <w:sz w:val="18"/>
                <w:szCs w:val="18"/>
              </w:rPr>
              <w:t> </w:t>
            </w:r>
            <w:r w:rsidR="00AF7BF2">
              <w:rPr>
                <w:rFonts w:ascii="Arial" w:hAnsi="Arial" w:cs="Arial"/>
                <w:b/>
                <w:sz w:val="18"/>
                <w:szCs w:val="18"/>
              </w:rPr>
              <w:t> </w:t>
            </w:r>
            <w:r w:rsidR="00AF7BF2">
              <w:rPr>
                <w:rFonts w:ascii="Arial" w:hAnsi="Arial" w:cs="Arial"/>
                <w:b/>
                <w:sz w:val="18"/>
                <w:szCs w:val="18"/>
              </w:rPr>
              <w:t> </w:t>
            </w:r>
            <w:r w:rsidR="00AF7BF2">
              <w:rPr>
                <w:rFonts w:ascii="Arial" w:hAnsi="Arial" w:cs="Arial"/>
                <w:b/>
                <w:sz w:val="18"/>
                <w:szCs w:val="18"/>
              </w:rPr>
              <w:t> </w:t>
            </w:r>
            <w:r>
              <w:rPr>
                <w:rFonts w:ascii="Arial" w:hAnsi="Arial" w:cs="Arial"/>
                <w:b/>
                <w:sz w:val="18"/>
                <w:szCs w:val="18"/>
              </w:rPr>
              <w:fldChar w:fldCharType="end"/>
            </w:r>
            <w:bookmarkEnd w:id="3"/>
          </w:p>
        </w:tc>
        <w:tc>
          <w:tcPr>
            <w:tcW w:w="1665" w:type="dxa"/>
            <w:tcBorders>
              <w:top w:val="single" w:sz="6" w:space="0" w:color="auto"/>
              <w:left w:val="single" w:sz="6" w:space="0" w:color="auto"/>
              <w:bottom w:val="single" w:sz="6" w:space="0" w:color="auto"/>
              <w:right w:val="single" w:sz="6" w:space="0" w:color="auto"/>
            </w:tcBorders>
            <w:shd w:val="clear" w:color="auto" w:fill="E0E0E0"/>
            <w:vAlign w:val="center"/>
          </w:tcPr>
          <w:p w:rsidR="00E43088" w:rsidRDefault="00E43088" w:rsidP="00E43088">
            <w:pPr>
              <w:jc w:val="right"/>
              <w:rPr>
                <w:rFonts w:ascii="Arial" w:hAnsi="Arial" w:cs="Arial"/>
                <w:b/>
                <w:bCs/>
                <w:sz w:val="18"/>
                <w:szCs w:val="18"/>
              </w:rPr>
            </w:pPr>
            <w:r>
              <w:rPr>
                <w:rFonts w:ascii="Arial" w:hAnsi="Arial" w:cs="Arial"/>
                <w:b/>
                <w:bCs/>
                <w:sz w:val="18"/>
                <w:szCs w:val="18"/>
              </w:rPr>
              <w:t>LTF:</w:t>
            </w:r>
          </w:p>
        </w:tc>
        <w:tc>
          <w:tcPr>
            <w:tcW w:w="3703" w:type="dxa"/>
            <w:tcBorders>
              <w:top w:val="single" w:sz="6" w:space="0" w:color="auto"/>
              <w:left w:val="single" w:sz="6" w:space="0" w:color="auto"/>
              <w:bottom w:val="single" w:sz="6" w:space="0" w:color="auto"/>
              <w:right w:val="single" w:sz="18" w:space="0" w:color="auto"/>
            </w:tcBorders>
            <w:shd w:val="clear" w:color="auto" w:fill="auto"/>
            <w:vAlign w:val="center"/>
          </w:tcPr>
          <w:p w:rsidR="00E43088" w:rsidRDefault="006E32FC" w:rsidP="006E32FC">
            <w:pPr>
              <w:ind w:right="-45"/>
              <w:rPr>
                <w:rFonts w:ascii="Arial" w:hAnsi="Arial" w:cs="Arial"/>
                <w:b/>
                <w:sz w:val="18"/>
                <w:szCs w:val="18"/>
              </w:rPr>
            </w:pPr>
            <w:r>
              <w:rPr>
                <w:rFonts w:ascii="Arial" w:hAnsi="Arial" w:cs="Arial"/>
                <w:b/>
                <w:sz w:val="18"/>
                <w:szCs w:val="18"/>
              </w:rPr>
              <w:fldChar w:fldCharType="begin">
                <w:ffData>
                  <w:name w:val="Text10"/>
                  <w:enabled/>
                  <w:calcOnExit w:val="0"/>
                  <w:textInput/>
                </w:ffData>
              </w:fldChar>
            </w:r>
            <w:bookmarkStart w:id="4" w:name="Text10"/>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4"/>
          </w:p>
        </w:tc>
      </w:tr>
      <w:tr w:rsidR="00E43088" w:rsidTr="002B6B85">
        <w:trPr>
          <w:cantSplit/>
          <w:tblHeader/>
          <w:jc w:val="center"/>
        </w:trPr>
        <w:tc>
          <w:tcPr>
            <w:tcW w:w="1625" w:type="dxa"/>
            <w:tcBorders>
              <w:top w:val="single" w:sz="6" w:space="0" w:color="auto"/>
              <w:left w:val="single" w:sz="18" w:space="0" w:color="auto"/>
              <w:bottom w:val="single" w:sz="18" w:space="0" w:color="auto"/>
              <w:right w:val="single" w:sz="6" w:space="0" w:color="auto"/>
            </w:tcBorders>
            <w:shd w:val="clear" w:color="auto" w:fill="E0E0E0"/>
            <w:tcMar>
              <w:top w:w="14" w:type="dxa"/>
              <w:left w:w="58" w:type="dxa"/>
              <w:bottom w:w="14" w:type="dxa"/>
              <w:right w:w="58" w:type="dxa"/>
            </w:tcMar>
            <w:vAlign w:val="center"/>
          </w:tcPr>
          <w:p w:rsidR="00E43088" w:rsidRDefault="002B6B85" w:rsidP="00E43088">
            <w:pPr>
              <w:jc w:val="right"/>
              <w:rPr>
                <w:rFonts w:ascii="Arial" w:hAnsi="Arial" w:cs="Arial"/>
                <w:b/>
                <w:bCs/>
                <w:sz w:val="18"/>
                <w:szCs w:val="18"/>
              </w:rPr>
            </w:pPr>
            <w:r>
              <w:rPr>
                <w:rFonts w:ascii="Arial" w:hAnsi="Arial" w:cs="Arial"/>
                <w:b/>
                <w:bCs/>
                <w:sz w:val="18"/>
                <w:szCs w:val="18"/>
              </w:rPr>
              <w:t>Today's Date</w:t>
            </w:r>
          </w:p>
        </w:tc>
        <w:tc>
          <w:tcPr>
            <w:tcW w:w="3916" w:type="dxa"/>
            <w:tcBorders>
              <w:top w:val="single" w:sz="6" w:space="0" w:color="auto"/>
              <w:left w:val="single" w:sz="6" w:space="0" w:color="auto"/>
              <w:bottom w:val="single" w:sz="18" w:space="0" w:color="auto"/>
              <w:right w:val="single" w:sz="6" w:space="0" w:color="auto"/>
            </w:tcBorders>
            <w:shd w:val="clear" w:color="auto" w:fill="auto"/>
            <w:vAlign w:val="center"/>
          </w:tcPr>
          <w:p w:rsidR="00E43088" w:rsidRDefault="006E32FC" w:rsidP="006E32FC">
            <w:pPr>
              <w:rPr>
                <w:rFonts w:ascii="Arial" w:hAnsi="Arial" w:cs="Arial"/>
                <w:b/>
                <w:sz w:val="18"/>
                <w:szCs w:val="18"/>
              </w:rPr>
            </w:pPr>
            <w:r>
              <w:rPr>
                <w:rFonts w:ascii="Arial" w:hAnsi="Arial" w:cs="Arial"/>
                <w:b/>
                <w:sz w:val="18"/>
                <w:szCs w:val="18"/>
              </w:rPr>
              <w:fldChar w:fldCharType="begin">
                <w:ffData>
                  <w:name w:val="Text6"/>
                  <w:enabled/>
                  <w:calcOnExit w:val="0"/>
                  <w:textInput/>
                </w:ffData>
              </w:fldChar>
            </w:r>
            <w:bookmarkStart w:id="5" w:name="Text6"/>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5"/>
          </w:p>
        </w:tc>
        <w:tc>
          <w:tcPr>
            <w:tcW w:w="1665" w:type="dxa"/>
            <w:tcBorders>
              <w:top w:val="single" w:sz="6" w:space="0" w:color="auto"/>
              <w:left w:val="single" w:sz="6" w:space="0" w:color="auto"/>
              <w:bottom w:val="single" w:sz="18" w:space="0" w:color="auto"/>
              <w:right w:val="single" w:sz="6" w:space="0" w:color="auto"/>
            </w:tcBorders>
            <w:shd w:val="clear" w:color="auto" w:fill="E0E0E0"/>
            <w:vAlign w:val="center"/>
          </w:tcPr>
          <w:p w:rsidR="00E43088" w:rsidRDefault="002B6B85" w:rsidP="00E43088">
            <w:pPr>
              <w:jc w:val="right"/>
              <w:rPr>
                <w:rFonts w:ascii="Arial" w:hAnsi="Arial" w:cs="Arial"/>
                <w:b/>
                <w:bCs/>
                <w:color w:val="000000"/>
                <w:sz w:val="18"/>
                <w:szCs w:val="18"/>
              </w:rPr>
            </w:pPr>
            <w:r>
              <w:rPr>
                <w:rFonts w:ascii="Arial" w:hAnsi="Arial" w:cs="Arial"/>
                <w:b/>
                <w:sz w:val="18"/>
                <w:szCs w:val="18"/>
              </w:rPr>
              <w:t>Checked By</w:t>
            </w:r>
          </w:p>
        </w:tc>
        <w:tc>
          <w:tcPr>
            <w:tcW w:w="3703" w:type="dxa"/>
            <w:tcBorders>
              <w:top w:val="single" w:sz="6" w:space="0" w:color="auto"/>
              <w:left w:val="single" w:sz="6" w:space="0" w:color="auto"/>
              <w:bottom w:val="single" w:sz="18" w:space="0" w:color="auto"/>
              <w:right w:val="single" w:sz="18" w:space="0" w:color="auto"/>
            </w:tcBorders>
            <w:shd w:val="clear" w:color="auto" w:fill="auto"/>
            <w:vAlign w:val="center"/>
          </w:tcPr>
          <w:p w:rsidR="00E43088" w:rsidRDefault="006E32FC" w:rsidP="006E32FC">
            <w:pPr>
              <w:rPr>
                <w:rFonts w:ascii="Arial" w:hAnsi="Arial" w:cs="Arial"/>
                <w:b/>
                <w:color w:val="000000"/>
                <w:sz w:val="18"/>
                <w:szCs w:val="18"/>
              </w:rPr>
            </w:pPr>
            <w:r>
              <w:rPr>
                <w:rFonts w:ascii="Arial" w:hAnsi="Arial" w:cs="Arial"/>
                <w:b/>
                <w:color w:val="000000"/>
                <w:sz w:val="18"/>
                <w:szCs w:val="18"/>
              </w:rPr>
              <w:fldChar w:fldCharType="begin">
                <w:ffData>
                  <w:name w:val="Text11"/>
                  <w:enabled/>
                  <w:calcOnExit w:val="0"/>
                  <w:textInput/>
                </w:ffData>
              </w:fldChar>
            </w:r>
            <w:bookmarkStart w:id="6" w:name="Text11"/>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bookmarkEnd w:id="6"/>
          </w:p>
        </w:tc>
      </w:tr>
    </w:tbl>
    <w:p w:rsidR="00E43088" w:rsidRDefault="00E43088"/>
    <w:tbl>
      <w:tblPr>
        <w:tblW w:w="1093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00" w:type="dxa"/>
          <w:bottom w:w="14" w:type="dxa"/>
          <w:right w:w="100" w:type="dxa"/>
        </w:tblCellMar>
        <w:tblLook w:val="0000" w:firstRow="0" w:lastRow="0" w:firstColumn="0" w:lastColumn="0" w:noHBand="0" w:noVBand="0"/>
      </w:tblPr>
      <w:tblGrid>
        <w:gridCol w:w="10930"/>
      </w:tblGrid>
      <w:tr w:rsidR="00B52CA4" w:rsidTr="0051529B">
        <w:trPr>
          <w:cantSplit/>
          <w:tblHeader/>
          <w:jc w:val="center"/>
        </w:trPr>
        <w:tc>
          <w:tcPr>
            <w:tcW w:w="10930" w:type="dxa"/>
            <w:tcBorders>
              <w:top w:val="single" w:sz="18" w:space="0" w:color="auto"/>
              <w:left w:val="single" w:sz="18" w:space="0" w:color="auto"/>
              <w:bottom w:val="single" w:sz="6" w:space="0" w:color="auto"/>
              <w:right w:val="single" w:sz="18" w:space="0" w:color="auto"/>
            </w:tcBorders>
            <w:shd w:val="clear" w:color="auto" w:fill="FFFF99"/>
            <w:tcMar>
              <w:top w:w="14" w:type="dxa"/>
              <w:left w:w="58" w:type="dxa"/>
              <w:bottom w:w="14" w:type="dxa"/>
              <w:right w:w="58" w:type="dxa"/>
            </w:tcMar>
            <w:vAlign w:val="center"/>
          </w:tcPr>
          <w:p w:rsidR="00B52CA4" w:rsidRPr="00B31575" w:rsidRDefault="00B52CA4" w:rsidP="00B92095">
            <w:pPr>
              <w:rPr>
                <w:rFonts w:ascii="Verdana" w:hAnsi="Verdana" w:cs="Arial"/>
                <w:b/>
                <w:bCs/>
              </w:rPr>
            </w:pPr>
            <w:r w:rsidRPr="00B31575">
              <w:rPr>
                <w:rFonts w:ascii="Verdana" w:hAnsi="Verdana" w:cs="Arial"/>
                <w:b/>
                <w:bCs/>
              </w:rPr>
              <w:t>Checklist instructions</w:t>
            </w:r>
          </w:p>
        </w:tc>
      </w:tr>
      <w:tr w:rsidR="00B52CA4" w:rsidTr="0051529B">
        <w:trPr>
          <w:cantSplit/>
          <w:tblHeader/>
          <w:jc w:val="center"/>
        </w:trPr>
        <w:tc>
          <w:tcPr>
            <w:tcW w:w="10930" w:type="dxa"/>
            <w:tcBorders>
              <w:top w:val="single" w:sz="12" w:space="0" w:color="auto"/>
              <w:left w:val="single" w:sz="18" w:space="0" w:color="auto"/>
              <w:bottom w:val="single" w:sz="6" w:space="0" w:color="auto"/>
              <w:right w:val="single" w:sz="18" w:space="0" w:color="auto"/>
            </w:tcBorders>
            <w:shd w:val="clear" w:color="auto" w:fill="E6E6E6"/>
            <w:tcMar>
              <w:top w:w="14" w:type="dxa"/>
              <w:left w:w="58" w:type="dxa"/>
              <w:bottom w:w="14" w:type="dxa"/>
              <w:right w:w="58" w:type="dxa"/>
            </w:tcMar>
            <w:vAlign w:val="center"/>
          </w:tcPr>
          <w:p w:rsidR="00B52CA4" w:rsidRDefault="00B52CA4" w:rsidP="00B92095">
            <w:pPr>
              <w:jc w:val="center"/>
              <w:rPr>
                <w:rFonts w:ascii="Arial" w:hAnsi="Arial" w:cs="Arial"/>
                <w:sz w:val="16"/>
                <w:szCs w:val="16"/>
              </w:rPr>
            </w:pPr>
          </w:p>
        </w:tc>
      </w:tr>
      <w:tr w:rsidR="0051529B" w:rsidRPr="00CB065F" w:rsidTr="00B92095">
        <w:trPr>
          <w:cantSplit/>
          <w:jc w:val="center"/>
        </w:trPr>
        <w:tc>
          <w:tcPr>
            <w:tcW w:w="10930" w:type="dxa"/>
            <w:tcBorders>
              <w:top w:val="single" w:sz="6" w:space="0" w:color="auto"/>
              <w:left w:val="single" w:sz="18" w:space="0" w:color="auto"/>
              <w:bottom w:val="single" w:sz="18" w:space="0" w:color="auto"/>
              <w:right w:val="single" w:sz="18" w:space="0" w:color="auto"/>
            </w:tcBorders>
            <w:vAlign w:val="center"/>
          </w:tcPr>
          <w:p w:rsidR="00C66AD8" w:rsidRDefault="00C66AD8" w:rsidP="00C66AD8">
            <w:pPr>
              <w:rPr>
                <w:rFonts w:ascii="Verdana" w:hAnsi="Verdana"/>
                <w:sz w:val="18"/>
                <w:szCs w:val="18"/>
              </w:rPr>
            </w:pPr>
            <w:r>
              <w:rPr>
                <w:rFonts w:ascii="Verdana" w:hAnsi="Verdana"/>
                <w:sz w:val="18"/>
                <w:szCs w:val="18"/>
              </w:rPr>
              <w:t xml:space="preserve">This checklist is provided as a guideline for ADEQ staff in performing technical substantive reviews and to the applicant on what information ADEQ will need to review Aquifer Protection Permit applications.  This checklist is designed to be easy to read and follow. It is intended to address the majority of applications submitted to ADEQ, but not every possible variation or situation. Please visit the </w:t>
            </w:r>
            <w:hyperlink r:id="rId10" w:tooltip="http://www.azdeq.gov/environ/water/permits/app.html" w:history="1">
              <w:r>
                <w:rPr>
                  <w:rStyle w:val="Hyperlink"/>
                  <w:rFonts w:ascii="Verdana" w:hAnsi="Verdana"/>
                  <w:sz w:val="18"/>
                  <w:szCs w:val="18"/>
                </w:rPr>
                <w:t>APP website</w:t>
              </w:r>
            </w:hyperlink>
            <w:r>
              <w:rPr>
                <w:rFonts w:ascii="Verdana" w:hAnsi="Verdana"/>
                <w:sz w:val="18"/>
                <w:szCs w:val="18"/>
              </w:rPr>
              <w:t xml:space="preserve"> to find program specific information including applications, rules, statutes, BADCT manuals, and other guidance information.   This checklist does not supplant or supersede statutory or rule requirements and is not intended to be binding on the applicant or ADEQ staff.  </w:t>
            </w:r>
          </w:p>
          <w:p w:rsidR="00C66AD8" w:rsidRDefault="00C66AD8" w:rsidP="00C66AD8">
            <w:pPr>
              <w:rPr>
                <w:rFonts w:ascii="Verdana" w:hAnsi="Verdana"/>
                <w:sz w:val="18"/>
                <w:szCs w:val="18"/>
              </w:rPr>
            </w:pPr>
          </w:p>
          <w:p w:rsidR="0023058C" w:rsidRPr="00CB065F" w:rsidRDefault="00C66AD8" w:rsidP="00C66AD8">
            <w:pPr>
              <w:rPr>
                <w:rFonts w:ascii="Verdana" w:hAnsi="Verdana" w:cs="Arial"/>
                <w:sz w:val="18"/>
                <w:szCs w:val="18"/>
              </w:rPr>
            </w:pPr>
            <w:r>
              <w:rPr>
                <w:rFonts w:ascii="Verdana" w:hAnsi="Verdana"/>
                <w:sz w:val="18"/>
                <w:szCs w:val="18"/>
              </w:rPr>
              <w:t>ADEQ is actively seeking comments, suggestions, or improvement of this checklist via email to Maribeth Greenslade (</w:t>
            </w:r>
            <w:hyperlink r:id="rId11" w:history="1">
              <w:r w:rsidRPr="00344DDA">
                <w:rPr>
                  <w:rStyle w:val="Hyperlink"/>
                  <w:rFonts w:ascii="Verdana" w:hAnsi="Verdana"/>
                  <w:sz w:val="18"/>
                  <w:szCs w:val="18"/>
                </w:rPr>
                <w:t>mg3@azdeq.gov</w:t>
              </w:r>
            </w:hyperlink>
            <w:r>
              <w:rPr>
                <w:rFonts w:ascii="Verdana" w:hAnsi="Verdana"/>
                <w:sz w:val="18"/>
                <w:szCs w:val="18"/>
              </w:rPr>
              <w:t>).</w:t>
            </w:r>
          </w:p>
        </w:tc>
      </w:tr>
    </w:tbl>
    <w:p w:rsidR="00B52CA4" w:rsidRDefault="00B52CA4"/>
    <w:tbl>
      <w:tblPr>
        <w:tblW w:w="1093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00" w:type="dxa"/>
          <w:bottom w:w="14" w:type="dxa"/>
          <w:right w:w="100" w:type="dxa"/>
        </w:tblCellMar>
        <w:tblLook w:val="0000" w:firstRow="0" w:lastRow="0" w:firstColumn="0" w:lastColumn="0" w:noHBand="0" w:noVBand="0"/>
      </w:tblPr>
      <w:tblGrid>
        <w:gridCol w:w="10930"/>
      </w:tblGrid>
      <w:tr w:rsidR="00B31575" w:rsidTr="00B272BC">
        <w:trPr>
          <w:cantSplit/>
          <w:tblHeader/>
          <w:jc w:val="center"/>
        </w:trPr>
        <w:tc>
          <w:tcPr>
            <w:tcW w:w="10930" w:type="dxa"/>
            <w:tcBorders>
              <w:top w:val="single" w:sz="18" w:space="0" w:color="auto"/>
              <w:left w:val="single" w:sz="18" w:space="0" w:color="auto"/>
              <w:bottom w:val="single" w:sz="6" w:space="0" w:color="auto"/>
              <w:right w:val="single" w:sz="18" w:space="0" w:color="auto"/>
            </w:tcBorders>
            <w:shd w:val="clear" w:color="auto" w:fill="FFFF99"/>
            <w:tcMar>
              <w:top w:w="14" w:type="dxa"/>
              <w:left w:w="58" w:type="dxa"/>
              <w:bottom w:w="14" w:type="dxa"/>
              <w:right w:w="58" w:type="dxa"/>
            </w:tcMar>
            <w:vAlign w:val="center"/>
          </w:tcPr>
          <w:p w:rsidR="00B31575" w:rsidRPr="00B31575" w:rsidRDefault="00B31575" w:rsidP="00B272BC">
            <w:pPr>
              <w:rPr>
                <w:rFonts w:ascii="Verdana" w:hAnsi="Verdana" w:cs="Arial"/>
                <w:b/>
                <w:bCs/>
              </w:rPr>
            </w:pPr>
            <w:r w:rsidRPr="00B31575">
              <w:rPr>
                <w:rFonts w:ascii="Verdana" w:hAnsi="Verdana" w:cs="Arial"/>
                <w:b/>
                <w:bCs/>
              </w:rPr>
              <w:t>List of Documents Reviewed</w:t>
            </w:r>
          </w:p>
        </w:tc>
      </w:tr>
      <w:tr w:rsidR="00B31575" w:rsidTr="00B272BC">
        <w:trPr>
          <w:cantSplit/>
          <w:tblHeader/>
          <w:jc w:val="center"/>
        </w:trPr>
        <w:tc>
          <w:tcPr>
            <w:tcW w:w="10930" w:type="dxa"/>
            <w:tcBorders>
              <w:top w:val="single" w:sz="12" w:space="0" w:color="auto"/>
              <w:left w:val="single" w:sz="18" w:space="0" w:color="auto"/>
              <w:bottom w:val="single" w:sz="6" w:space="0" w:color="auto"/>
              <w:right w:val="single" w:sz="18" w:space="0" w:color="auto"/>
            </w:tcBorders>
            <w:shd w:val="clear" w:color="auto" w:fill="E6E6E6"/>
            <w:tcMar>
              <w:top w:w="14" w:type="dxa"/>
              <w:left w:w="58" w:type="dxa"/>
              <w:bottom w:w="14" w:type="dxa"/>
              <w:right w:w="58" w:type="dxa"/>
            </w:tcMar>
            <w:vAlign w:val="center"/>
          </w:tcPr>
          <w:p w:rsidR="00B31575" w:rsidRDefault="00B31575" w:rsidP="00B272BC">
            <w:pPr>
              <w:jc w:val="center"/>
              <w:rPr>
                <w:rFonts w:ascii="Arial" w:hAnsi="Arial" w:cs="Arial"/>
                <w:sz w:val="16"/>
                <w:szCs w:val="16"/>
              </w:rPr>
            </w:pPr>
          </w:p>
        </w:tc>
      </w:tr>
      <w:tr w:rsidR="00B31575" w:rsidRPr="00CB065F" w:rsidTr="00B272BC">
        <w:trPr>
          <w:cantSplit/>
          <w:jc w:val="center"/>
        </w:trPr>
        <w:tc>
          <w:tcPr>
            <w:tcW w:w="10930" w:type="dxa"/>
            <w:tcBorders>
              <w:top w:val="single" w:sz="6" w:space="0" w:color="auto"/>
              <w:left w:val="single" w:sz="18" w:space="0" w:color="auto"/>
              <w:bottom w:val="single" w:sz="18" w:space="0" w:color="auto"/>
              <w:right w:val="single" w:sz="18" w:space="0" w:color="auto"/>
            </w:tcBorders>
            <w:vAlign w:val="center"/>
          </w:tcPr>
          <w:p w:rsidR="00B31575" w:rsidRDefault="00B31575" w:rsidP="00B272BC">
            <w:pPr>
              <w:rPr>
                <w:rFonts w:ascii="Verdana" w:hAnsi="Verdana" w:cs="Arial"/>
                <w:sz w:val="18"/>
                <w:szCs w:val="18"/>
              </w:rPr>
            </w:pPr>
            <w:r>
              <w:rPr>
                <w:rFonts w:ascii="Verdana" w:hAnsi="Verdana" w:cs="Arial"/>
                <w:sz w:val="18"/>
                <w:szCs w:val="18"/>
              </w:rPr>
              <w:t>List of documents review</w:t>
            </w:r>
            <w:r w:rsidR="005B050E">
              <w:rPr>
                <w:rFonts w:ascii="Verdana" w:hAnsi="Verdana" w:cs="Arial"/>
                <w:sz w:val="18"/>
                <w:szCs w:val="18"/>
              </w:rPr>
              <w:t>ed</w:t>
            </w:r>
            <w:r>
              <w:rPr>
                <w:rFonts w:ascii="Verdana" w:hAnsi="Verdana" w:cs="Arial"/>
                <w:sz w:val="18"/>
                <w:szCs w:val="18"/>
              </w:rPr>
              <w:t>:</w:t>
            </w:r>
          </w:p>
          <w:p w:rsidR="00B31575" w:rsidRPr="00CB065F" w:rsidRDefault="00B31575" w:rsidP="00B272BC">
            <w:pPr>
              <w:rPr>
                <w:rFonts w:ascii="Verdana" w:hAnsi="Verdana" w:cs="Arial"/>
                <w:sz w:val="18"/>
                <w:szCs w:val="18"/>
              </w:rPr>
            </w:pPr>
            <w:r>
              <w:rPr>
                <w:rFonts w:ascii="Verdana" w:hAnsi="Verdana" w:cs="Arial"/>
                <w:sz w:val="18"/>
                <w:szCs w:val="18"/>
              </w:rPr>
              <w:fldChar w:fldCharType="begin">
                <w:ffData>
                  <w:name w:val="Text12"/>
                  <w:enabled/>
                  <w:calcOnExit w:val="0"/>
                  <w:textInput/>
                </w:ffData>
              </w:fldChar>
            </w:r>
            <w:bookmarkStart w:id="7" w:name="Text12"/>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7"/>
            <w:r>
              <w:rPr>
                <w:rFonts w:ascii="Verdana" w:hAnsi="Verdana" w:cs="Arial"/>
                <w:sz w:val="18"/>
                <w:szCs w:val="18"/>
              </w:rPr>
              <w:t xml:space="preserve"> </w:t>
            </w:r>
          </w:p>
        </w:tc>
      </w:tr>
      <w:tr w:rsidR="00B31575" w:rsidTr="00B31575">
        <w:trPr>
          <w:cantSplit/>
          <w:jc w:val="center"/>
        </w:trPr>
        <w:tc>
          <w:tcPr>
            <w:tcW w:w="10930" w:type="dxa"/>
            <w:tcBorders>
              <w:top w:val="single" w:sz="6" w:space="0" w:color="auto"/>
              <w:left w:val="single" w:sz="18" w:space="0" w:color="auto"/>
              <w:bottom w:val="single" w:sz="18" w:space="0" w:color="auto"/>
              <w:right w:val="single" w:sz="18" w:space="0" w:color="auto"/>
            </w:tcBorders>
            <w:shd w:val="clear" w:color="auto" w:fill="FFFF99"/>
            <w:vAlign w:val="center"/>
          </w:tcPr>
          <w:p w:rsidR="00B31575" w:rsidRPr="00B31575" w:rsidRDefault="00B31575" w:rsidP="00B272BC">
            <w:pPr>
              <w:rPr>
                <w:rFonts w:ascii="Verdana" w:hAnsi="Verdana" w:cs="Arial"/>
                <w:b/>
              </w:rPr>
            </w:pPr>
            <w:r w:rsidRPr="00B31575">
              <w:rPr>
                <w:rFonts w:ascii="Verdana" w:hAnsi="Verdana" w:cs="Arial"/>
                <w:b/>
              </w:rPr>
              <w:t>Amendment Description</w:t>
            </w:r>
          </w:p>
        </w:tc>
      </w:tr>
      <w:tr w:rsidR="00B31575" w:rsidTr="00B31575">
        <w:trPr>
          <w:cantSplit/>
          <w:jc w:val="center"/>
        </w:trPr>
        <w:tc>
          <w:tcPr>
            <w:tcW w:w="10930" w:type="dxa"/>
            <w:tcBorders>
              <w:top w:val="single" w:sz="6" w:space="0" w:color="auto"/>
              <w:left w:val="single" w:sz="18" w:space="0" w:color="auto"/>
              <w:bottom w:val="single" w:sz="18" w:space="0" w:color="auto"/>
              <w:right w:val="single" w:sz="18" w:space="0" w:color="auto"/>
            </w:tcBorders>
            <w:shd w:val="clear" w:color="auto" w:fill="E6E6E6"/>
            <w:vAlign w:val="center"/>
          </w:tcPr>
          <w:p w:rsidR="00B31575" w:rsidRPr="00B31575" w:rsidRDefault="00B31575" w:rsidP="00B31575">
            <w:pPr>
              <w:rPr>
                <w:rFonts w:ascii="Verdana" w:hAnsi="Verdana" w:cs="Arial"/>
                <w:sz w:val="18"/>
                <w:szCs w:val="18"/>
              </w:rPr>
            </w:pPr>
          </w:p>
        </w:tc>
      </w:tr>
      <w:tr w:rsidR="00B31575" w:rsidRPr="00CB065F" w:rsidTr="00B31575">
        <w:trPr>
          <w:cantSplit/>
          <w:jc w:val="center"/>
        </w:trPr>
        <w:tc>
          <w:tcPr>
            <w:tcW w:w="10930" w:type="dxa"/>
            <w:tcBorders>
              <w:top w:val="single" w:sz="6" w:space="0" w:color="auto"/>
              <w:left w:val="single" w:sz="18" w:space="0" w:color="auto"/>
              <w:bottom w:val="single" w:sz="18" w:space="0" w:color="auto"/>
              <w:right w:val="single" w:sz="18" w:space="0" w:color="auto"/>
            </w:tcBorders>
            <w:vAlign w:val="center"/>
          </w:tcPr>
          <w:p w:rsidR="00B31575" w:rsidRDefault="00B31575" w:rsidP="00B272BC">
            <w:pPr>
              <w:rPr>
                <w:rFonts w:ascii="Verdana" w:hAnsi="Verdana" w:cs="Arial"/>
                <w:sz w:val="18"/>
                <w:szCs w:val="18"/>
              </w:rPr>
            </w:pPr>
            <w:r>
              <w:rPr>
                <w:rFonts w:ascii="Verdana" w:hAnsi="Verdana" w:cs="Arial"/>
                <w:sz w:val="18"/>
                <w:szCs w:val="18"/>
              </w:rPr>
              <w:t>Amendment Description:</w:t>
            </w:r>
          </w:p>
          <w:p w:rsidR="00B31575" w:rsidRPr="00CB065F" w:rsidRDefault="00B31575" w:rsidP="00B272BC">
            <w:pPr>
              <w:rPr>
                <w:rFonts w:ascii="Verdana" w:hAnsi="Verdana" w:cs="Arial"/>
                <w:sz w:val="18"/>
                <w:szCs w:val="18"/>
              </w:rPr>
            </w:pPr>
            <w:r>
              <w:rPr>
                <w:rFonts w:ascii="Verdana" w:hAnsi="Verdana" w:cs="Arial"/>
                <w:sz w:val="18"/>
                <w:szCs w:val="18"/>
              </w:rPr>
              <w:fldChar w:fldCharType="begin">
                <w:ffData>
                  <w:name w:val="Text12"/>
                  <w:enabled/>
                  <w:calcOnExit w:val="0"/>
                  <w:textInput/>
                </w:ffData>
              </w:fldChar>
            </w:r>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fldChar w:fldCharType="end"/>
            </w:r>
            <w:r>
              <w:rPr>
                <w:rFonts w:ascii="Verdana" w:hAnsi="Verdana" w:cs="Arial"/>
                <w:sz w:val="18"/>
                <w:szCs w:val="18"/>
              </w:rPr>
              <w:t xml:space="preserve"> </w:t>
            </w:r>
          </w:p>
        </w:tc>
      </w:tr>
    </w:tbl>
    <w:p w:rsidR="00B52CA4" w:rsidRDefault="00B52CA4"/>
    <w:p w:rsidR="00B31575" w:rsidRDefault="0023058C">
      <w:r>
        <w:br w:type="page"/>
      </w:r>
    </w:p>
    <w:p w:rsidR="00B31575" w:rsidRDefault="00B31575"/>
    <w:tbl>
      <w:tblPr>
        <w:tblW w:w="1093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00" w:type="dxa"/>
          <w:bottom w:w="14" w:type="dxa"/>
          <w:right w:w="100" w:type="dxa"/>
        </w:tblCellMar>
        <w:tblLook w:val="0000" w:firstRow="0" w:lastRow="0" w:firstColumn="0" w:lastColumn="0" w:noHBand="0" w:noVBand="0"/>
      </w:tblPr>
      <w:tblGrid>
        <w:gridCol w:w="1079"/>
        <w:gridCol w:w="9830"/>
        <w:gridCol w:w="21"/>
      </w:tblGrid>
      <w:tr w:rsidR="00E43088" w:rsidTr="00CB065F">
        <w:trPr>
          <w:gridAfter w:val="1"/>
          <w:wAfter w:w="21" w:type="dxa"/>
          <w:cantSplit/>
          <w:tblHeader/>
          <w:jc w:val="center"/>
        </w:trPr>
        <w:tc>
          <w:tcPr>
            <w:tcW w:w="10909" w:type="dxa"/>
            <w:gridSpan w:val="2"/>
            <w:tcBorders>
              <w:top w:val="single" w:sz="18" w:space="0" w:color="auto"/>
              <w:left w:val="single" w:sz="18" w:space="0" w:color="auto"/>
              <w:bottom w:val="single" w:sz="6" w:space="0" w:color="auto"/>
              <w:right w:val="single" w:sz="18" w:space="0" w:color="auto"/>
            </w:tcBorders>
            <w:shd w:val="clear" w:color="auto" w:fill="FFFF99"/>
            <w:tcMar>
              <w:top w:w="14" w:type="dxa"/>
              <w:left w:w="58" w:type="dxa"/>
              <w:bottom w:w="14" w:type="dxa"/>
              <w:right w:w="58" w:type="dxa"/>
            </w:tcMar>
            <w:vAlign w:val="center"/>
          </w:tcPr>
          <w:p w:rsidR="00E43088" w:rsidRDefault="00207558" w:rsidP="00207558">
            <w:pPr>
              <w:rPr>
                <w:rFonts w:ascii="Arial" w:hAnsi="Arial" w:cs="Arial"/>
                <w:b/>
                <w:bCs/>
              </w:rPr>
            </w:pPr>
            <w:r>
              <w:rPr>
                <w:rFonts w:ascii="Arial" w:hAnsi="Arial" w:cs="Arial"/>
                <w:b/>
                <w:bCs/>
              </w:rPr>
              <w:t xml:space="preserve">General </w:t>
            </w:r>
            <w:r w:rsidR="00E43088">
              <w:rPr>
                <w:rFonts w:ascii="Arial" w:hAnsi="Arial" w:cs="Arial"/>
                <w:b/>
                <w:bCs/>
              </w:rPr>
              <w:t>Requirements for (WWTP, Mining, and Industrial APP</w:t>
            </w:r>
            <w:r>
              <w:rPr>
                <w:rFonts w:ascii="Arial" w:hAnsi="Arial" w:cs="Arial"/>
                <w:b/>
                <w:bCs/>
              </w:rPr>
              <w:t>)</w:t>
            </w:r>
            <w:r w:rsidR="00E43088">
              <w:rPr>
                <w:rFonts w:ascii="Arial" w:hAnsi="Arial" w:cs="Arial"/>
                <w:b/>
                <w:bCs/>
              </w:rPr>
              <w:t xml:space="preserve"> </w:t>
            </w:r>
            <w:r w:rsidR="00AC5B5B">
              <w:rPr>
                <w:rFonts w:ascii="Arial" w:hAnsi="Arial" w:cs="Arial"/>
                <w:b/>
                <w:bCs/>
              </w:rPr>
              <w:t>Applications</w:t>
            </w:r>
            <w:r w:rsidR="00E43088">
              <w:rPr>
                <w:rFonts w:ascii="Arial" w:hAnsi="Arial" w:cs="Arial"/>
                <w:b/>
                <w:bCs/>
              </w:rPr>
              <w:t xml:space="preserve"> and</w:t>
            </w:r>
            <w:r w:rsidR="00C61736">
              <w:rPr>
                <w:rFonts w:ascii="Arial" w:hAnsi="Arial" w:cs="Arial"/>
                <w:b/>
                <w:bCs/>
              </w:rPr>
              <w:t xml:space="preserve"> </w:t>
            </w:r>
            <w:r w:rsidR="00E43088">
              <w:rPr>
                <w:rFonts w:ascii="Arial" w:hAnsi="Arial" w:cs="Arial"/>
                <w:b/>
                <w:bCs/>
              </w:rPr>
              <w:t>Significant amendments</w:t>
            </w:r>
          </w:p>
        </w:tc>
      </w:tr>
      <w:tr w:rsidR="00E43088" w:rsidTr="00CB065F">
        <w:trPr>
          <w:gridAfter w:val="1"/>
          <w:wAfter w:w="21" w:type="dxa"/>
          <w:cantSplit/>
          <w:tblHeader/>
          <w:jc w:val="center"/>
        </w:trPr>
        <w:tc>
          <w:tcPr>
            <w:tcW w:w="10909" w:type="dxa"/>
            <w:gridSpan w:val="2"/>
            <w:tcBorders>
              <w:top w:val="single" w:sz="12" w:space="0" w:color="auto"/>
              <w:left w:val="single" w:sz="18" w:space="0" w:color="auto"/>
              <w:bottom w:val="single" w:sz="12" w:space="0" w:color="auto"/>
              <w:right w:val="single" w:sz="18" w:space="0" w:color="auto"/>
            </w:tcBorders>
            <w:shd w:val="clear" w:color="auto" w:fill="E6E6E6"/>
            <w:tcMar>
              <w:top w:w="14" w:type="dxa"/>
              <w:left w:w="58" w:type="dxa"/>
              <w:bottom w:w="14" w:type="dxa"/>
              <w:right w:w="58" w:type="dxa"/>
            </w:tcMar>
            <w:vAlign w:val="center"/>
          </w:tcPr>
          <w:p w:rsidR="00E43088" w:rsidRPr="008F7828" w:rsidRDefault="00E43088" w:rsidP="00E43088">
            <w:pPr>
              <w:jc w:val="center"/>
              <w:rPr>
                <w:rFonts w:ascii="Arial" w:hAnsi="Arial" w:cs="Arial"/>
                <w:sz w:val="16"/>
                <w:szCs w:val="16"/>
              </w:rPr>
            </w:pPr>
            <w:r w:rsidRPr="008F7828">
              <w:rPr>
                <w:rFonts w:ascii="Arial" w:hAnsi="Arial" w:cs="Arial"/>
                <w:color w:val="0000FF"/>
                <w:sz w:val="16"/>
                <w:szCs w:val="16"/>
              </w:rPr>
              <w:t>Y: yes, meets the requirement</w:t>
            </w:r>
            <w:r w:rsidRPr="008F7828">
              <w:rPr>
                <w:rFonts w:ascii="Arial" w:hAnsi="Arial" w:cs="Arial"/>
                <w:color w:val="000000"/>
                <w:sz w:val="16"/>
                <w:szCs w:val="16"/>
              </w:rPr>
              <w:t xml:space="preserve">;   </w:t>
            </w:r>
            <w:r w:rsidRPr="008F7828">
              <w:rPr>
                <w:rFonts w:ascii="Arial" w:hAnsi="Arial" w:cs="Arial"/>
                <w:sz w:val="16"/>
                <w:szCs w:val="16"/>
              </w:rPr>
              <w:t xml:space="preserve"> </w:t>
            </w:r>
            <w:r w:rsidRPr="008F7828">
              <w:rPr>
                <w:rFonts w:ascii="Arial" w:hAnsi="Arial" w:cs="Arial"/>
                <w:color w:val="FF0000"/>
                <w:sz w:val="16"/>
                <w:szCs w:val="16"/>
              </w:rPr>
              <w:t>N: no, does not meet the requirement (see comment below)</w:t>
            </w:r>
            <w:r w:rsidRPr="008F7828">
              <w:rPr>
                <w:rFonts w:ascii="Arial" w:hAnsi="Arial" w:cs="Arial"/>
                <w:color w:val="000000"/>
                <w:sz w:val="16"/>
                <w:szCs w:val="16"/>
              </w:rPr>
              <w:t>;</w:t>
            </w:r>
            <w:r w:rsidRPr="008F7828">
              <w:rPr>
                <w:rFonts w:ascii="Arial" w:hAnsi="Arial" w:cs="Arial"/>
                <w:sz w:val="16"/>
                <w:szCs w:val="16"/>
              </w:rPr>
              <w:t xml:space="preserve">    NA: does not apply</w:t>
            </w:r>
          </w:p>
        </w:tc>
      </w:tr>
      <w:tr w:rsidR="00E43088" w:rsidRPr="006727E7" w:rsidTr="00CB065F">
        <w:trPr>
          <w:gridAfter w:val="1"/>
          <w:wAfter w:w="21" w:type="dxa"/>
          <w:cantSplit/>
          <w:jc w:val="center"/>
        </w:trPr>
        <w:tc>
          <w:tcPr>
            <w:tcW w:w="1079" w:type="dxa"/>
            <w:tcBorders>
              <w:top w:val="single" w:sz="6" w:space="0" w:color="auto"/>
              <w:left w:val="single" w:sz="18" w:space="0" w:color="auto"/>
              <w:bottom w:val="single" w:sz="6" w:space="0" w:color="auto"/>
              <w:right w:val="single" w:sz="6" w:space="0" w:color="auto"/>
            </w:tcBorders>
            <w:vAlign w:val="center"/>
          </w:tcPr>
          <w:p w:rsidR="00E43088" w:rsidRPr="00CB065F" w:rsidRDefault="00CD4659" w:rsidP="00E43088">
            <w:pPr>
              <w:jc w:val="center"/>
              <w:rPr>
                <w:rFonts w:ascii="Verdana" w:hAnsi="Verdana" w:cs="Arial"/>
                <w:b/>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w:instrText>
            </w:r>
            <w:bookmarkStart w:id="8" w:name="Dropdown1"/>
            <w:r>
              <w:rPr>
                <w:rFonts w:ascii="Verdana" w:hAnsi="Verdana" w:cs="Arial"/>
                <w:color w:val="0000FF"/>
                <w:sz w:val="18"/>
                <w:szCs w:val="18"/>
              </w:rPr>
              <w:instrText xml:space="preserve">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bookmarkEnd w:id="8"/>
          </w:p>
        </w:tc>
        <w:tc>
          <w:tcPr>
            <w:tcW w:w="9830" w:type="dxa"/>
            <w:tcBorders>
              <w:top w:val="single" w:sz="6" w:space="0" w:color="auto"/>
              <w:left w:val="single" w:sz="6" w:space="0" w:color="auto"/>
              <w:bottom w:val="single" w:sz="6" w:space="0" w:color="auto"/>
              <w:right w:val="single" w:sz="18" w:space="0" w:color="auto"/>
            </w:tcBorders>
            <w:tcMar>
              <w:top w:w="14" w:type="dxa"/>
              <w:left w:w="58" w:type="dxa"/>
              <w:bottom w:w="14" w:type="dxa"/>
              <w:right w:w="58" w:type="dxa"/>
            </w:tcMar>
            <w:vAlign w:val="center"/>
          </w:tcPr>
          <w:p w:rsidR="0023058C" w:rsidRPr="008F7828" w:rsidRDefault="0023058C" w:rsidP="0023058C">
            <w:pPr>
              <w:rPr>
                <w:rFonts w:ascii="Arial" w:hAnsi="Arial" w:cs="Arial"/>
                <w:sz w:val="17"/>
                <w:szCs w:val="17"/>
              </w:rPr>
            </w:pPr>
            <w:r w:rsidRPr="008F7828">
              <w:rPr>
                <w:rFonts w:ascii="Arial" w:hAnsi="Arial" w:cs="Arial"/>
                <w:sz w:val="17"/>
                <w:szCs w:val="17"/>
              </w:rPr>
              <w:t>A202(A)(1) - Topographic map or other appropriate map of the facility location and contiguous land area, showing the following:</w:t>
            </w:r>
          </w:p>
          <w:p w:rsidR="0023058C" w:rsidRPr="008F7828" w:rsidRDefault="0023058C" w:rsidP="0023058C">
            <w:pPr>
              <w:numPr>
                <w:ilvl w:val="0"/>
                <w:numId w:val="1"/>
              </w:numPr>
              <w:rPr>
                <w:rFonts w:ascii="Arial" w:hAnsi="Arial" w:cs="Arial"/>
                <w:sz w:val="17"/>
                <w:szCs w:val="17"/>
              </w:rPr>
            </w:pPr>
            <w:r w:rsidRPr="008F7828">
              <w:rPr>
                <w:rFonts w:ascii="Arial" w:hAnsi="Arial" w:cs="Arial"/>
                <w:sz w:val="17"/>
                <w:szCs w:val="17"/>
              </w:rPr>
              <w:t>Known use of adjacent properties;</w:t>
            </w:r>
          </w:p>
          <w:p w:rsidR="0023058C" w:rsidRPr="008F7828" w:rsidRDefault="0023058C" w:rsidP="0023058C">
            <w:pPr>
              <w:numPr>
                <w:ilvl w:val="0"/>
                <w:numId w:val="1"/>
              </w:numPr>
              <w:rPr>
                <w:rFonts w:ascii="Arial" w:hAnsi="Arial" w:cs="Arial"/>
                <w:sz w:val="17"/>
                <w:szCs w:val="17"/>
              </w:rPr>
            </w:pPr>
            <w:r w:rsidRPr="008F7828">
              <w:rPr>
                <w:rFonts w:ascii="Arial" w:hAnsi="Arial" w:cs="Arial"/>
                <w:sz w:val="17"/>
                <w:szCs w:val="17"/>
              </w:rPr>
              <w:t>all known water well locations found within  one-half mile of the facility;</w:t>
            </w:r>
          </w:p>
          <w:p w:rsidR="00E43088" w:rsidRPr="008F7828" w:rsidRDefault="0023058C" w:rsidP="0023058C">
            <w:pPr>
              <w:numPr>
                <w:ilvl w:val="0"/>
                <w:numId w:val="1"/>
              </w:numPr>
              <w:rPr>
                <w:rFonts w:ascii="Arial" w:hAnsi="Arial" w:cs="Arial"/>
                <w:sz w:val="17"/>
                <w:szCs w:val="17"/>
              </w:rPr>
            </w:pPr>
            <w:r w:rsidRPr="008F7828">
              <w:rPr>
                <w:rFonts w:ascii="Arial" w:hAnsi="Arial" w:cs="Arial"/>
                <w:sz w:val="17"/>
                <w:szCs w:val="17"/>
              </w:rPr>
              <w:t>a description of well construction details and well uses, if available</w:t>
            </w:r>
          </w:p>
        </w:tc>
      </w:tr>
      <w:tr w:rsidR="00E43088" w:rsidRPr="006727E7" w:rsidTr="00CB065F">
        <w:trPr>
          <w:gridAfter w:val="1"/>
          <w:wAfter w:w="21" w:type="dxa"/>
          <w:cantSplit/>
          <w:jc w:val="center"/>
        </w:trPr>
        <w:tc>
          <w:tcPr>
            <w:tcW w:w="1079" w:type="dxa"/>
            <w:tcBorders>
              <w:top w:val="single" w:sz="6" w:space="0" w:color="auto"/>
              <w:left w:val="single" w:sz="18" w:space="0" w:color="auto"/>
              <w:bottom w:val="single" w:sz="6" w:space="0" w:color="auto"/>
              <w:right w:val="single" w:sz="6" w:space="0" w:color="auto"/>
            </w:tcBorders>
            <w:shd w:val="clear" w:color="auto" w:fill="E0E0E0"/>
            <w:vAlign w:val="center"/>
          </w:tcPr>
          <w:p w:rsidR="00E43088" w:rsidRPr="00CB065F" w:rsidRDefault="007F104F" w:rsidP="00E43088">
            <w:pPr>
              <w:jc w:val="center"/>
              <w:rPr>
                <w:rFonts w:ascii="Verdana" w:hAnsi="Verdana" w:cs="Arial"/>
                <w:sz w:val="18"/>
                <w:szCs w:val="18"/>
              </w:rPr>
            </w:pPr>
            <w:r>
              <w:rPr>
                <w:rFonts w:ascii="Verdana" w:hAnsi="Verdana" w:cs="Arial"/>
                <w:sz w:val="18"/>
                <w:szCs w:val="18"/>
              </w:rPr>
              <w:t>C</w:t>
            </w:r>
            <w:r w:rsidR="00E43088" w:rsidRPr="00CB065F">
              <w:rPr>
                <w:rFonts w:ascii="Verdana" w:hAnsi="Verdana" w:cs="Arial"/>
                <w:sz w:val="18"/>
                <w:szCs w:val="18"/>
              </w:rPr>
              <w:t>omment</w:t>
            </w:r>
          </w:p>
        </w:tc>
        <w:tc>
          <w:tcPr>
            <w:tcW w:w="9830" w:type="dxa"/>
            <w:tcBorders>
              <w:top w:val="single" w:sz="6" w:space="0" w:color="auto"/>
              <w:left w:val="single" w:sz="6" w:space="0" w:color="auto"/>
              <w:bottom w:val="single" w:sz="6" w:space="0" w:color="auto"/>
              <w:right w:val="single" w:sz="18" w:space="0" w:color="auto"/>
            </w:tcBorders>
            <w:tcMar>
              <w:top w:w="14" w:type="dxa"/>
              <w:left w:w="58" w:type="dxa"/>
              <w:bottom w:w="14" w:type="dxa"/>
              <w:right w:w="58" w:type="dxa"/>
            </w:tcMar>
            <w:vAlign w:val="center"/>
          </w:tcPr>
          <w:p w:rsidR="00E43088" w:rsidRPr="008F7828" w:rsidRDefault="002B6B85" w:rsidP="00E43088">
            <w:pPr>
              <w:jc w:val="both"/>
              <w:rPr>
                <w:rFonts w:ascii="Arial" w:hAnsi="Arial" w:cs="Arial"/>
                <w:color w:val="0000FF"/>
                <w:sz w:val="17"/>
                <w:szCs w:val="17"/>
              </w:rPr>
            </w:pPr>
            <w:r w:rsidRPr="008F7828">
              <w:rPr>
                <w:rFonts w:ascii="Arial" w:hAnsi="Arial" w:cs="Arial"/>
                <w:bCs/>
                <w:color w:val="0000FF"/>
                <w:sz w:val="17"/>
                <w:szCs w:val="17"/>
              </w:rPr>
              <w:fldChar w:fldCharType="begin">
                <w:ffData>
                  <w:name w:val="Text3"/>
                  <w:enabled/>
                  <w:calcOnExit w:val="0"/>
                  <w:textInput/>
                </w:ffData>
              </w:fldChar>
            </w:r>
            <w:r w:rsidRPr="008F7828">
              <w:rPr>
                <w:rFonts w:ascii="Arial" w:hAnsi="Arial" w:cs="Arial"/>
                <w:bCs/>
                <w:color w:val="0000FF"/>
                <w:sz w:val="17"/>
                <w:szCs w:val="17"/>
              </w:rPr>
              <w:instrText xml:space="preserve"> FORMTEXT </w:instrText>
            </w:r>
            <w:r w:rsidRPr="008F7828">
              <w:rPr>
                <w:rFonts w:ascii="Arial" w:hAnsi="Arial" w:cs="Arial"/>
                <w:bCs/>
                <w:color w:val="0000FF"/>
                <w:sz w:val="17"/>
                <w:szCs w:val="17"/>
              </w:rPr>
            </w:r>
            <w:r w:rsidRPr="008F7828">
              <w:rPr>
                <w:rFonts w:ascii="Arial" w:hAnsi="Arial" w:cs="Arial"/>
                <w:bCs/>
                <w:color w:val="0000FF"/>
                <w:sz w:val="17"/>
                <w:szCs w:val="17"/>
              </w:rPr>
              <w:fldChar w:fldCharType="separate"/>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color w:val="0000FF"/>
                <w:sz w:val="17"/>
                <w:szCs w:val="17"/>
              </w:rPr>
              <w:fldChar w:fldCharType="end"/>
            </w:r>
          </w:p>
        </w:tc>
      </w:tr>
      <w:tr w:rsidR="00224505" w:rsidRPr="006727E7" w:rsidTr="00CB065F">
        <w:trPr>
          <w:gridAfter w:val="1"/>
          <w:wAfter w:w="21" w:type="dxa"/>
          <w:cantSplit/>
          <w:jc w:val="center"/>
        </w:trPr>
        <w:tc>
          <w:tcPr>
            <w:tcW w:w="1079" w:type="dxa"/>
            <w:tcBorders>
              <w:top w:val="single" w:sz="6" w:space="0" w:color="auto"/>
              <w:left w:val="single" w:sz="18" w:space="0" w:color="auto"/>
              <w:bottom w:val="single" w:sz="6" w:space="0" w:color="auto"/>
              <w:right w:val="single" w:sz="6" w:space="0" w:color="auto"/>
            </w:tcBorders>
            <w:shd w:val="clear" w:color="auto" w:fill="auto"/>
            <w:vAlign w:val="center"/>
          </w:tcPr>
          <w:p w:rsidR="00224505" w:rsidRPr="00CB065F" w:rsidRDefault="00CD4659" w:rsidP="00E43088">
            <w:pPr>
              <w:jc w:val="center"/>
              <w:rPr>
                <w:rFonts w:ascii="Verdana" w:hAnsi="Verdana" w:cs="Arial"/>
                <w:b/>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30" w:type="dxa"/>
            <w:tcBorders>
              <w:top w:val="single" w:sz="6" w:space="0" w:color="auto"/>
              <w:left w:val="single" w:sz="6" w:space="0" w:color="auto"/>
              <w:bottom w:val="single" w:sz="6" w:space="0" w:color="auto"/>
              <w:right w:val="single" w:sz="18" w:space="0" w:color="auto"/>
            </w:tcBorders>
            <w:tcMar>
              <w:top w:w="14" w:type="dxa"/>
              <w:left w:w="58" w:type="dxa"/>
              <w:bottom w:w="14" w:type="dxa"/>
              <w:right w:w="58" w:type="dxa"/>
            </w:tcMar>
            <w:vAlign w:val="center"/>
          </w:tcPr>
          <w:p w:rsidR="00224505" w:rsidRPr="008F7828" w:rsidRDefault="0023058C" w:rsidP="0023058C">
            <w:pPr>
              <w:rPr>
                <w:rFonts w:ascii="Arial" w:hAnsi="Arial" w:cs="Arial"/>
                <w:sz w:val="17"/>
                <w:szCs w:val="17"/>
              </w:rPr>
            </w:pPr>
            <w:r w:rsidRPr="008F7828">
              <w:rPr>
                <w:rFonts w:ascii="Arial" w:hAnsi="Arial" w:cs="Arial"/>
                <w:sz w:val="17"/>
                <w:szCs w:val="17"/>
              </w:rPr>
              <w:t>A202(A)(2) - A facility site plan showing all property lines, structures, water wells, injection wells, dry wells and their uses, topography and the location of points of  discharge (lat./long), all known borings (for numerous borings, a narrative description of the number and location of the borings is acceptable)</w:t>
            </w:r>
          </w:p>
        </w:tc>
      </w:tr>
      <w:tr w:rsidR="00E43088" w:rsidRPr="006727E7" w:rsidTr="00CB065F">
        <w:trPr>
          <w:gridAfter w:val="1"/>
          <w:wAfter w:w="21" w:type="dxa"/>
          <w:cantSplit/>
          <w:jc w:val="center"/>
        </w:trPr>
        <w:tc>
          <w:tcPr>
            <w:tcW w:w="1079" w:type="dxa"/>
            <w:tcBorders>
              <w:top w:val="single" w:sz="6" w:space="0" w:color="auto"/>
              <w:left w:val="single" w:sz="18" w:space="0" w:color="auto"/>
              <w:bottom w:val="single" w:sz="6" w:space="0" w:color="auto"/>
              <w:right w:val="single" w:sz="6" w:space="0" w:color="auto"/>
            </w:tcBorders>
            <w:shd w:val="clear" w:color="auto" w:fill="E0E0E0"/>
            <w:vAlign w:val="center"/>
          </w:tcPr>
          <w:p w:rsidR="00E43088" w:rsidRPr="00CB065F" w:rsidRDefault="007F104F" w:rsidP="00E43088">
            <w:pPr>
              <w:jc w:val="center"/>
              <w:rPr>
                <w:rFonts w:ascii="Verdana" w:hAnsi="Verdana" w:cs="Arial"/>
                <w:sz w:val="18"/>
                <w:szCs w:val="18"/>
              </w:rPr>
            </w:pPr>
            <w:r>
              <w:rPr>
                <w:rFonts w:ascii="Verdana" w:hAnsi="Verdana" w:cs="Arial"/>
                <w:sz w:val="18"/>
                <w:szCs w:val="18"/>
              </w:rPr>
              <w:t>C</w:t>
            </w:r>
            <w:r w:rsidR="00E43088" w:rsidRPr="00CB065F">
              <w:rPr>
                <w:rFonts w:ascii="Verdana" w:hAnsi="Verdana" w:cs="Arial"/>
                <w:sz w:val="18"/>
                <w:szCs w:val="18"/>
              </w:rPr>
              <w:t>omment</w:t>
            </w:r>
          </w:p>
        </w:tc>
        <w:tc>
          <w:tcPr>
            <w:tcW w:w="9830" w:type="dxa"/>
            <w:tcBorders>
              <w:top w:val="single" w:sz="6" w:space="0" w:color="auto"/>
              <w:left w:val="single" w:sz="6" w:space="0" w:color="auto"/>
              <w:bottom w:val="single" w:sz="6" w:space="0" w:color="auto"/>
              <w:right w:val="single" w:sz="18" w:space="0" w:color="auto"/>
            </w:tcBorders>
            <w:tcMar>
              <w:top w:w="14" w:type="dxa"/>
              <w:left w:w="58" w:type="dxa"/>
              <w:bottom w:w="14" w:type="dxa"/>
              <w:right w:w="58" w:type="dxa"/>
            </w:tcMar>
            <w:vAlign w:val="center"/>
          </w:tcPr>
          <w:p w:rsidR="00E43088" w:rsidRPr="008F7828" w:rsidRDefault="00224505" w:rsidP="00E43088">
            <w:pPr>
              <w:ind w:left="43"/>
              <w:jc w:val="both"/>
              <w:rPr>
                <w:rFonts w:ascii="Arial" w:hAnsi="Arial" w:cs="Arial"/>
                <w:bCs/>
                <w:color w:val="0000FF"/>
                <w:sz w:val="17"/>
                <w:szCs w:val="17"/>
              </w:rPr>
            </w:pPr>
            <w:r w:rsidRPr="008F7828">
              <w:rPr>
                <w:rFonts w:ascii="Arial" w:hAnsi="Arial" w:cs="Arial"/>
                <w:bCs/>
                <w:color w:val="0000FF"/>
                <w:sz w:val="17"/>
                <w:szCs w:val="17"/>
              </w:rPr>
              <w:fldChar w:fldCharType="begin">
                <w:ffData>
                  <w:name w:val="Text3"/>
                  <w:enabled/>
                  <w:calcOnExit w:val="0"/>
                  <w:textInput/>
                </w:ffData>
              </w:fldChar>
            </w:r>
            <w:bookmarkStart w:id="9" w:name="Text3"/>
            <w:r w:rsidRPr="008F7828">
              <w:rPr>
                <w:rFonts w:ascii="Arial" w:hAnsi="Arial" w:cs="Arial"/>
                <w:bCs/>
                <w:color w:val="0000FF"/>
                <w:sz w:val="17"/>
                <w:szCs w:val="17"/>
              </w:rPr>
              <w:instrText xml:space="preserve"> FORMTEXT </w:instrText>
            </w:r>
            <w:r w:rsidRPr="008F7828">
              <w:rPr>
                <w:rFonts w:ascii="Arial" w:hAnsi="Arial" w:cs="Arial"/>
                <w:bCs/>
                <w:color w:val="0000FF"/>
                <w:sz w:val="17"/>
                <w:szCs w:val="17"/>
              </w:rPr>
            </w:r>
            <w:r w:rsidRPr="008F7828">
              <w:rPr>
                <w:rFonts w:ascii="Arial" w:hAnsi="Arial" w:cs="Arial"/>
                <w:bCs/>
                <w:color w:val="0000FF"/>
                <w:sz w:val="17"/>
                <w:szCs w:val="17"/>
              </w:rPr>
              <w:fldChar w:fldCharType="separate"/>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color w:val="0000FF"/>
                <w:sz w:val="17"/>
                <w:szCs w:val="17"/>
              </w:rPr>
              <w:fldChar w:fldCharType="end"/>
            </w:r>
            <w:bookmarkEnd w:id="9"/>
          </w:p>
        </w:tc>
      </w:tr>
      <w:tr w:rsidR="00224505" w:rsidRPr="006727E7" w:rsidTr="00CB065F">
        <w:trPr>
          <w:gridAfter w:val="1"/>
          <w:wAfter w:w="21" w:type="dxa"/>
          <w:cantSplit/>
          <w:jc w:val="center"/>
        </w:trPr>
        <w:tc>
          <w:tcPr>
            <w:tcW w:w="1079" w:type="dxa"/>
            <w:tcBorders>
              <w:top w:val="single" w:sz="6" w:space="0" w:color="auto"/>
              <w:left w:val="single" w:sz="18" w:space="0" w:color="auto"/>
              <w:bottom w:val="single" w:sz="6" w:space="0" w:color="auto"/>
              <w:right w:val="single" w:sz="6" w:space="0" w:color="auto"/>
            </w:tcBorders>
            <w:vAlign w:val="center"/>
          </w:tcPr>
          <w:p w:rsidR="00224505" w:rsidRPr="00CB065F" w:rsidRDefault="00CD4659" w:rsidP="00E43088">
            <w:pPr>
              <w:jc w:val="center"/>
              <w:rPr>
                <w:rFonts w:ascii="Verdana" w:hAnsi="Verdana" w:cs="Arial"/>
                <w:b/>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30" w:type="dxa"/>
            <w:tcBorders>
              <w:top w:val="single" w:sz="6" w:space="0" w:color="auto"/>
              <w:left w:val="single" w:sz="6" w:space="0" w:color="auto"/>
              <w:bottom w:val="single" w:sz="6" w:space="0" w:color="auto"/>
              <w:right w:val="single" w:sz="18" w:space="0" w:color="auto"/>
            </w:tcBorders>
            <w:tcMar>
              <w:top w:w="14" w:type="dxa"/>
              <w:left w:w="58" w:type="dxa"/>
              <w:bottom w:w="14" w:type="dxa"/>
              <w:right w:w="58" w:type="dxa"/>
            </w:tcMar>
            <w:vAlign w:val="center"/>
          </w:tcPr>
          <w:p w:rsidR="00224505" w:rsidRPr="008F7828" w:rsidRDefault="0023058C" w:rsidP="00E43088">
            <w:pPr>
              <w:rPr>
                <w:rFonts w:ascii="Arial" w:hAnsi="Arial" w:cs="Arial"/>
                <w:sz w:val="17"/>
                <w:szCs w:val="17"/>
              </w:rPr>
            </w:pPr>
            <w:r w:rsidRPr="008F7828">
              <w:rPr>
                <w:rFonts w:ascii="Arial" w:hAnsi="Arial" w:cs="Arial"/>
                <w:sz w:val="17"/>
                <w:szCs w:val="17"/>
              </w:rPr>
              <w:t>A202(A)(3) - The facility design plans including  proposed or as-built design details  and  proposed or as-built configuration of  basins,  ponds, waste storage areas, drainage diversion features, or other engineered elements of the facility affecting  discharge.</w:t>
            </w:r>
            <w:r w:rsidR="004F7244" w:rsidRPr="008B05EB">
              <w:rPr>
                <w:rFonts w:ascii="Verdana" w:hAnsi="Verdana"/>
                <w:sz w:val="18"/>
                <w:szCs w:val="18"/>
              </w:rPr>
              <w:t xml:space="preserve"> When formal as-built plan submittals are not available, the applicant shall provide documentation sufficient to allow evaluation of those elements of the facility affecting discharge, following the demonstration requirements of A.R.S. § 49-243(B).</w:t>
            </w:r>
            <w:r w:rsidR="004F7244">
              <w:rPr>
                <w:rFonts w:ascii="Verdana" w:hAnsi="Verdana"/>
                <w:sz w:val="18"/>
                <w:szCs w:val="18"/>
              </w:rPr>
              <w:t xml:space="preserve">   </w:t>
            </w:r>
            <w:r w:rsidR="004F7244">
              <w:t xml:space="preserve"> </w:t>
            </w:r>
          </w:p>
        </w:tc>
      </w:tr>
      <w:tr w:rsidR="00E43088" w:rsidRPr="006727E7" w:rsidTr="00CB065F">
        <w:trPr>
          <w:gridAfter w:val="1"/>
          <w:wAfter w:w="21" w:type="dxa"/>
          <w:cantSplit/>
          <w:trHeight w:val="202"/>
          <w:jc w:val="center"/>
        </w:trPr>
        <w:tc>
          <w:tcPr>
            <w:tcW w:w="1079" w:type="dxa"/>
            <w:tcBorders>
              <w:top w:val="single" w:sz="6" w:space="0" w:color="auto"/>
              <w:left w:val="single" w:sz="18" w:space="0" w:color="auto"/>
              <w:bottom w:val="single" w:sz="6" w:space="0" w:color="auto"/>
              <w:right w:val="single" w:sz="6" w:space="0" w:color="auto"/>
            </w:tcBorders>
            <w:shd w:val="clear" w:color="auto" w:fill="E0E0E0"/>
            <w:vAlign w:val="center"/>
          </w:tcPr>
          <w:p w:rsidR="00E43088" w:rsidRPr="00CB065F" w:rsidRDefault="007F104F" w:rsidP="00E43088">
            <w:pPr>
              <w:jc w:val="center"/>
              <w:rPr>
                <w:rFonts w:ascii="Verdana" w:hAnsi="Verdana" w:cs="Arial"/>
                <w:sz w:val="18"/>
                <w:szCs w:val="18"/>
              </w:rPr>
            </w:pPr>
            <w:r>
              <w:rPr>
                <w:rFonts w:ascii="Verdana" w:hAnsi="Verdana" w:cs="Arial"/>
                <w:sz w:val="18"/>
                <w:szCs w:val="18"/>
              </w:rPr>
              <w:t>C</w:t>
            </w:r>
            <w:r w:rsidR="00E43088" w:rsidRPr="00CB065F">
              <w:rPr>
                <w:rFonts w:ascii="Verdana" w:hAnsi="Verdana" w:cs="Arial"/>
                <w:sz w:val="18"/>
                <w:szCs w:val="18"/>
              </w:rPr>
              <w:t>omment</w:t>
            </w:r>
          </w:p>
        </w:tc>
        <w:tc>
          <w:tcPr>
            <w:tcW w:w="9830" w:type="dxa"/>
            <w:tcBorders>
              <w:top w:val="single" w:sz="6" w:space="0" w:color="auto"/>
              <w:left w:val="single" w:sz="6" w:space="0" w:color="auto"/>
              <w:bottom w:val="single" w:sz="6" w:space="0" w:color="auto"/>
              <w:right w:val="single" w:sz="18" w:space="0" w:color="auto"/>
            </w:tcBorders>
            <w:tcMar>
              <w:top w:w="14" w:type="dxa"/>
              <w:left w:w="58" w:type="dxa"/>
              <w:bottom w:w="14" w:type="dxa"/>
              <w:right w:w="58" w:type="dxa"/>
            </w:tcMar>
            <w:vAlign w:val="center"/>
          </w:tcPr>
          <w:p w:rsidR="00E43088" w:rsidRPr="008F7828" w:rsidRDefault="00E43088" w:rsidP="00E43088">
            <w:pPr>
              <w:ind w:left="245" w:hanging="245"/>
              <w:jc w:val="both"/>
              <w:rPr>
                <w:rFonts w:ascii="Arial" w:hAnsi="Arial" w:cs="Arial"/>
                <w:color w:val="0000FF"/>
                <w:sz w:val="17"/>
                <w:szCs w:val="17"/>
              </w:rPr>
            </w:pPr>
            <w:r w:rsidRPr="008F7828">
              <w:rPr>
                <w:rFonts w:ascii="Arial" w:hAnsi="Arial" w:cs="Arial"/>
                <w:color w:val="0000FF"/>
                <w:sz w:val="17"/>
                <w:szCs w:val="17"/>
              </w:rPr>
              <w:t xml:space="preserve"> </w:t>
            </w:r>
            <w:r w:rsidR="006E32FC" w:rsidRPr="008F7828">
              <w:rPr>
                <w:rFonts w:ascii="Arial" w:hAnsi="Arial" w:cs="Arial"/>
                <w:bCs/>
                <w:color w:val="0000FF"/>
                <w:sz w:val="17"/>
                <w:szCs w:val="17"/>
              </w:rPr>
              <w:fldChar w:fldCharType="begin">
                <w:ffData>
                  <w:name w:val="Text3"/>
                  <w:enabled/>
                  <w:calcOnExit w:val="0"/>
                  <w:textInput/>
                </w:ffData>
              </w:fldChar>
            </w:r>
            <w:r w:rsidR="006E32FC" w:rsidRPr="008F7828">
              <w:rPr>
                <w:rFonts w:ascii="Arial" w:hAnsi="Arial" w:cs="Arial"/>
                <w:bCs/>
                <w:color w:val="0000FF"/>
                <w:sz w:val="17"/>
                <w:szCs w:val="17"/>
              </w:rPr>
              <w:instrText xml:space="preserve"> FORMTEXT </w:instrText>
            </w:r>
            <w:r w:rsidR="006E32FC" w:rsidRPr="008F7828">
              <w:rPr>
                <w:rFonts w:ascii="Arial" w:hAnsi="Arial" w:cs="Arial"/>
                <w:bCs/>
                <w:color w:val="0000FF"/>
                <w:sz w:val="17"/>
                <w:szCs w:val="17"/>
              </w:rPr>
            </w:r>
            <w:r w:rsidR="006E32FC" w:rsidRPr="008F7828">
              <w:rPr>
                <w:rFonts w:ascii="Arial" w:hAnsi="Arial" w:cs="Arial"/>
                <w:bCs/>
                <w:color w:val="0000FF"/>
                <w:sz w:val="17"/>
                <w:szCs w:val="17"/>
              </w:rPr>
              <w:fldChar w:fldCharType="separate"/>
            </w:r>
            <w:r w:rsidR="006E32FC" w:rsidRPr="008F7828">
              <w:rPr>
                <w:rFonts w:ascii="Arial" w:hAnsi="Arial" w:cs="Arial"/>
                <w:bCs/>
                <w:noProof/>
                <w:color w:val="0000FF"/>
                <w:sz w:val="17"/>
                <w:szCs w:val="17"/>
              </w:rPr>
              <w:t> </w:t>
            </w:r>
            <w:r w:rsidR="006E32FC" w:rsidRPr="008F7828">
              <w:rPr>
                <w:rFonts w:ascii="Arial" w:hAnsi="Arial" w:cs="Arial"/>
                <w:bCs/>
                <w:noProof/>
                <w:color w:val="0000FF"/>
                <w:sz w:val="17"/>
                <w:szCs w:val="17"/>
              </w:rPr>
              <w:t> </w:t>
            </w:r>
            <w:r w:rsidR="006E32FC" w:rsidRPr="008F7828">
              <w:rPr>
                <w:rFonts w:ascii="Arial" w:hAnsi="Arial" w:cs="Arial"/>
                <w:bCs/>
                <w:noProof/>
                <w:color w:val="0000FF"/>
                <w:sz w:val="17"/>
                <w:szCs w:val="17"/>
              </w:rPr>
              <w:t> </w:t>
            </w:r>
            <w:r w:rsidR="006E32FC" w:rsidRPr="008F7828">
              <w:rPr>
                <w:rFonts w:ascii="Arial" w:hAnsi="Arial" w:cs="Arial"/>
                <w:bCs/>
                <w:noProof/>
                <w:color w:val="0000FF"/>
                <w:sz w:val="17"/>
                <w:szCs w:val="17"/>
              </w:rPr>
              <w:t> </w:t>
            </w:r>
            <w:r w:rsidR="006E32FC" w:rsidRPr="008F7828">
              <w:rPr>
                <w:rFonts w:ascii="Arial" w:hAnsi="Arial" w:cs="Arial"/>
                <w:bCs/>
                <w:noProof/>
                <w:color w:val="0000FF"/>
                <w:sz w:val="17"/>
                <w:szCs w:val="17"/>
              </w:rPr>
              <w:t> </w:t>
            </w:r>
            <w:r w:rsidR="006E32FC" w:rsidRPr="008F7828">
              <w:rPr>
                <w:rFonts w:ascii="Arial" w:hAnsi="Arial" w:cs="Arial"/>
                <w:bCs/>
                <w:color w:val="0000FF"/>
                <w:sz w:val="17"/>
                <w:szCs w:val="17"/>
              </w:rPr>
              <w:fldChar w:fldCharType="end"/>
            </w:r>
          </w:p>
        </w:tc>
      </w:tr>
      <w:tr w:rsidR="0009509D" w:rsidRPr="006727E7" w:rsidTr="0023058C">
        <w:trPr>
          <w:gridAfter w:val="1"/>
          <w:wAfter w:w="21" w:type="dxa"/>
          <w:cantSplit/>
          <w:trHeight w:val="286"/>
          <w:jc w:val="center"/>
        </w:trPr>
        <w:tc>
          <w:tcPr>
            <w:tcW w:w="1079" w:type="dxa"/>
            <w:tcBorders>
              <w:top w:val="single" w:sz="6" w:space="0" w:color="auto"/>
              <w:left w:val="single" w:sz="18" w:space="0" w:color="auto"/>
              <w:bottom w:val="single" w:sz="4" w:space="0" w:color="auto"/>
              <w:right w:val="single" w:sz="6" w:space="0" w:color="auto"/>
            </w:tcBorders>
            <w:vAlign w:val="center"/>
          </w:tcPr>
          <w:p w:rsidR="0009509D" w:rsidRPr="00CB065F" w:rsidRDefault="00CD4659" w:rsidP="00E43088">
            <w:pPr>
              <w:jc w:val="center"/>
              <w:rPr>
                <w:rFonts w:ascii="Verdana" w:hAnsi="Verdana" w:cs="Arial"/>
                <w:b/>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30" w:type="dxa"/>
            <w:tcBorders>
              <w:top w:val="single" w:sz="6" w:space="0" w:color="auto"/>
              <w:left w:val="single" w:sz="6" w:space="0" w:color="auto"/>
              <w:bottom w:val="single" w:sz="4" w:space="0" w:color="auto"/>
              <w:right w:val="single" w:sz="18" w:space="0" w:color="auto"/>
            </w:tcBorders>
            <w:tcMar>
              <w:top w:w="14" w:type="dxa"/>
              <w:left w:w="58" w:type="dxa"/>
              <w:bottom w:w="14" w:type="dxa"/>
              <w:right w:w="58" w:type="dxa"/>
            </w:tcMar>
            <w:vAlign w:val="center"/>
          </w:tcPr>
          <w:p w:rsidR="006E1875" w:rsidRPr="008F7828" w:rsidRDefault="0023058C" w:rsidP="006E1875">
            <w:pPr>
              <w:rPr>
                <w:rFonts w:ascii="Arial" w:hAnsi="Arial" w:cs="Arial"/>
                <w:sz w:val="17"/>
                <w:szCs w:val="17"/>
              </w:rPr>
            </w:pPr>
            <w:r w:rsidRPr="008F7828">
              <w:rPr>
                <w:rFonts w:ascii="Arial" w:hAnsi="Arial" w:cs="Arial"/>
                <w:sz w:val="17"/>
                <w:szCs w:val="17"/>
              </w:rPr>
              <w:t>A202(A)(4)(a) - A summary of the known past discharge activities and the proposed facility discharge activities indicating the chemical, biological, and physical characteristics of the discharge;</w:t>
            </w:r>
          </w:p>
        </w:tc>
      </w:tr>
      <w:tr w:rsidR="0009509D" w:rsidTr="00CB065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shd w:val="clear" w:color="auto" w:fill="E0E0E0"/>
            <w:tcMar>
              <w:top w:w="14" w:type="dxa"/>
              <w:left w:w="58" w:type="dxa"/>
              <w:bottom w:w="14" w:type="dxa"/>
              <w:right w:w="58" w:type="dxa"/>
            </w:tcMar>
            <w:vAlign w:val="center"/>
          </w:tcPr>
          <w:p w:rsidR="0009509D" w:rsidRPr="00CB065F" w:rsidRDefault="007F104F"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sz w:val="18"/>
                <w:szCs w:val="18"/>
              </w:rPr>
              <w:t>C</w:t>
            </w:r>
            <w:r w:rsidR="0009509D" w:rsidRPr="00CB065F">
              <w:rPr>
                <w:rFonts w:ascii="Verdana" w:hAnsi="Verdana" w:cs="Arial"/>
                <w:sz w:val="18"/>
                <w:szCs w:val="18"/>
              </w:rPr>
              <w:t>omment</w:t>
            </w:r>
          </w:p>
        </w:tc>
        <w:tc>
          <w:tcPr>
            <w:tcW w:w="9851" w:type="dxa"/>
            <w:gridSpan w:val="2"/>
            <w:tcMar>
              <w:right w:w="58" w:type="dxa"/>
            </w:tcMar>
            <w:vAlign w:val="center"/>
          </w:tcPr>
          <w:p w:rsidR="0009509D" w:rsidRPr="008F7828" w:rsidRDefault="0009509D"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Arial" w:hAnsi="Arial" w:cs="Arial"/>
                <w:color w:val="0000FF"/>
                <w:sz w:val="17"/>
                <w:szCs w:val="17"/>
              </w:rPr>
            </w:pPr>
            <w:r w:rsidRPr="008F7828">
              <w:rPr>
                <w:rFonts w:ascii="Arial" w:hAnsi="Arial" w:cs="Arial"/>
                <w:bCs/>
                <w:color w:val="0000FF"/>
                <w:sz w:val="17"/>
                <w:szCs w:val="17"/>
              </w:rPr>
              <w:fldChar w:fldCharType="begin">
                <w:ffData>
                  <w:name w:val="Text3"/>
                  <w:enabled/>
                  <w:calcOnExit w:val="0"/>
                  <w:textInput/>
                </w:ffData>
              </w:fldChar>
            </w:r>
            <w:r w:rsidRPr="008F7828">
              <w:rPr>
                <w:rFonts w:ascii="Arial" w:hAnsi="Arial" w:cs="Arial"/>
                <w:bCs/>
                <w:color w:val="0000FF"/>
                <w:sz w:val="17"/>
                <w:szCs w:val="17"/>
              </w:rPr>
              <w:instrText xml:space="preserve"> FORMTEXT </w:instrText>
            </w:r>
            <w:r w:rsidRPr="008F7828">
              <w:rPr>
                <w:rFonts w:ascii="Arial" w:hAnsi="Arial" w:cs="Arial"/>
                <w:bCs/>
                <w:color w:val="0000FF"/>
                <w:sz w:val="17"/>
                <w:szCs w:val="17"/>
              </w:rPr>
            </w:r>
            <w:r w:rsidRPr="008F7828">
              <w:rPr>
                <w:rFonts w:ascii="Arial" w:hAnsi="Arial" w:cs="Arial"/>
                <w:bCs/>
                <w:color w:val="0000FF"/>
                <w:sz w:val="17"/>
                <w:szCs w:val="17"/>
              </w:rPr>
              <w:fldChar w:fldCharType="separate"/>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color w:val="0000FF"/>
                <w:sz w:val="17"/>
                <w:szCs w:val="17"/>
              </w:rPr>
              <w:fldChar w:fldCharType="end"/>
            </w:r>
          </w:p>
        </w:tc>
      </w:tr>
      <w:tr w:rsidR="0009509D" w:rsidTr="00CB065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vAlign w:val="center"/>
          </w:tcPr>
          <w:p w:rsidR="0009509D" w:rsidRPr="00CB065F" w:rsidRDefault="00CD4659" w:rsidP="00E43088">
            <w:pPr>
              <w:jc w:val="center"/>
              <w:rPr>
                <w:rFonts w:ascii="Verdana" w:hAnsi="Verdana" w:cs="Arial"/>
                <w:b/>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51" w:type="dxa"/>
            <w:gridSpan w:val="2"/>
            <w:tcMar>
              <w:top w:w="14" w:type="dxa"/>
              <w:left w:w="58" w:type="dxa"/>
              <w:bottom w:w="14" w:type="dxa"/>
              <w:right w:w="58" w:type="dxa"/>
            </w:tcMar>
            <w:vAlign w:val="center"/>
          </w:tcPr>
          <w:p w:rsidR="0009509D" w:rsidRPr="008F7828" w:rsidRDefault="0023058C" w:rsidP="006E32FC">
            <w:pPr>
              <w:rPr>
                <w:rFonts w:ascii="Arial" w:hAnsi="Arial" w:cs="Arial"/>
                <w:sz w:val="17"/>
                <w:szCs w:val="17"/>
              </w:rPr>
            </w:pPr>
            <w:r w:rsidRPr="008F7828">
              <w:rPr>
                <w:rFonts w:ascii="Arial" w:hAnsi="Arial" w:cs="Arial"/>
                <w:sz w:val="17"/>
                <w:szCs w:val="17"/>
              </w:rPr>
              <w:t xml:space="preserve">A202(A)(4)(b) - A summary of the known past discharge activities and the proposed facility discharge activities indicating </w:t>
            </w:r>
            <w:r w:rsidR="00DA6498" w:rsidRPr="008F7828">
              <w:rPr>
                <w:rFonts w:ascii="Arial" w:hAnsi="Arial" w:cs="Arial"/>
                <w:sz w:val="17"/>
                <w:szCs w:val="17"/>
              </w:rPr>
              <w:t>t</w:t>
            </w:r>
            <w:r w:rsidRPr="008F7828">
              <w:rPr>
                <w:rFonts w:ascii="Arial" w:hAnsi="Arial" w:cs="Arial"/>
                <w:sz w:val="17"/>
                <w:szCs w:val="17"/>
              </w:rPr>
              <w:t>he rate, volume, and frequency of the discharge for each facility;</w:t>
            </w:r>
          </w:p>
        </w:tc>
      </w:tr>
      <w:tr w:rsidR="0009509D" w:rsidTr="00CB065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shd w:val="clear" w:color="auto" w:fill="E0E0E0"/>
            <w:tcMar>
              <w:top w:w="14" w:type="dxa"/>
              <w:left w:w="58" w:type="dxa"/>
              <w:bottom w:w="14" w:type="dxa"/>
              <w:right w:w="58" w:type="dxa"/>
            </w:tcMar>
            <w:vAlign w:val="center"/>
          </w:tcPr>
          <w:p w:rsidR="0009509D" w:rsidRPr="00CB065F" w:rsidRDefault="007F104F"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sz w:val="18"/>
                <w:szCs w:val="18"/>
              </w:rPr>
              <w:t>C</w:t>
            </w:r>
            <w:r w:rsidR="0009509D" w:rsidRPr="00CB065F">
              <w:rPr>
                <w:rFonts w:ascii="Verdana" w:hAnsi="Verdana" w:cs="Arial"/>
                <w:sz w:val="18"/>
                <w:szCs w:val="18"/>
              </w:rPr>
              <w:t>omment</w:t>
            </w:r>
          </w:p>
        </w:tc>
        <w:tc>
          <w:tcPr>
            <w:tcW w:w="9851" w:type="dxa"/>
            <w:gridSpan w:val="2"/>
            <w:tcMar>
              <w:right w:w="58" w:type="dxa"/>
            </w:tcMar>
            <w:vAlign w:val="center"/>
          </w:tcPr>
          <w:p w:rsidR="0009509D" w:rsidRPr="008F7828" w:rsidRDefault="0009509D"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Arial" w:hAnsi="Arial" w:cs="Arial"/>
                <w:color w:val="0000FF"/>
                <w:sz w:val="17"/>
                <w:szCs w:val="17"/>
              </w:rPr>
            </w:pPr>
            <w:r w:rsidRPr="008F7828">
              <w:rPr>
                <w:rFonts w:ascii="Arial" w:hAnsi="Arial" w:cs="Arial"/>
                <w:bCs/>
                <w:color w:val="0000FF"/>
                <w:sz w:val="17"/>
                <w:szCs w:val="17"/>
              </w:rPr>
              <w:fldChar w:fldCharType="begin">
                <w:ffData>
                  <w:name w:val="Text3"/>
                  <w:enabled/>
                  <w:calcOnExit w:val="0"/>
                  <w:textInput/>
                </w:ffData>
              </w:fldChar>
            </w:r>
            <w:r w:rsidRPr="008F7828">
              <w:rPr>
                <w:rFonts w:ascii="Arial" w:hAnsi="Arial" w:cs="Arial"/>
                <w:bCs/>
                <w:color w:val="0000FF"/>
                <w:sz w:val="17"/>
                <w:szCs w:val="17"/>
              </w:rPr>
              <w:instrText xml:space="preserve"> FORMTEXT </w:instrText>
            </w:r>
            <w:r w:rsidRPr="008F7828">
              <w:rPr>
                <w:rFonts w:ascii="Arial" w:hAnsi="Arial" w:cs="Arial"/>
                <w:bCs/>
                <w:color w:val="0000FF"/>
                <w:sz w:val="17"/>
                <w:szCs w:val="17"/>
              </w:rPr>
            </w:r>
            <w:r w:rsidRPr="008F7828">
              <w:rPr>
                <w:rFonts w:ascii="Arial" w:hAnsi="Arial" w:cs="Arial"/>
                <w:bCs/>
                <w:color w:val="0000FF"/>
                <w:sz w:val="17"/>
                <w:szCs w:val="17"/>
              </w:rPr>
              <w:fldChar w:fldCharType="separate"/>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color w:val="0000FF"/>
                <w:sz w:val="17"/>
                <w:szCs w:val="17"/>
              </w:rPr>
              <w:fldChar w:fldCharType="end"/>
            </w:r>
          </w:p>
        </w:tc>
      </w:tr>
      <w:tr w:rsidR="00386700" w:rsidTr="0038670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shd w:val="clear" w:color="auto" w:fill="auto"/>
            <w:tcMar>
              <w:top w:w="14" w:type="dxa"/>
              <w:left w:w="58" w:type="dxa"/>
              <w:bottom w:w="14" w:type="dxa"/>
              <w:right w:w="58" w:type="dxa"/>
            </w:tcMar>
            <w:vAlign w:val="center"/>
          </w:tcPr>
          <w:p w:rsidR="00386700" w:rsidRPr="00CB065F" w:rsidRDefault="00CD4659"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51" w:type="dxa"/>
            <w:gridSpan w:val="2"/>
            <w:tcMar>
              <w:right w:w="58" w:type="dxa"/>
            </w:tcMar>
            <w:vAlign w:val="center"/>
          </w:tcPr>
          <w:p w:rsidR="00386700" w:rsidRPr="008F7828" w:rsidRDefault="0023058C" w:rsidP="00DA6498">
            <w:pPr>
              <w:rPr>
                <w:rFonts w:ascii="Arial" w:hAnsi="Arial" w:cs="Arial"/>
                <w:sz w:val="17"/>
                <w:szCs w:val="17"/>
              </w:rPr>
            </w:pPr>
            <w:r w:rsidRPr="008F7828">
              <w:rPr>
                <w:rFonts w:ascii="Arial" w:hAnsi="Arial" w:cs="Arial"/>
                <w:sz w:val="17"/>
                <w:szCs w:val="17"/>
              </w:rPr>
              <w:t>A202(A)(4)(c) - A summary of the known past discharge activities and the proposed facility discharge activities indicating  the location of the discharge and a map outlining the pollutant management area described in A.R.S. §49-244(1)</w:t>
            </w:r>
          </w:p>
        </w:tc>
      </w:tr>
      <w:tr w:rsidR="00386700" w:rsidTr="0038670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tcBorders>
              <w:bottom w:val="single" w:sz="6" w:space="0" w:color="auto"/>
            </w:tcBorders>
            <w:shd w:val="clear" w:color="auto" w:fill="E0E0E0"/>
            <w:tcMar>
              <w:top w:w="14" w:type="dxa"/>
              <w:left w:w="58" w:type="dxa"/>
              <w:bottom w:w="14" w:type="dxa"/>
              <w:right w:w="58" w:type="dxa"/>
            </w:tcMar>
            <w:vAlign w:val="center"/>
          </w:tcPr>
          <w:p w:rsidR="00386700" w:rsidRPr="00CB065F" w:rsidRDefault="007F104F"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sz w:val="18"/>
                <w:szCs w:val="18"/>
              </w:rPr>
              <w:t>C</w:t>
            </w:r>
            <w:r w:rsidR="00386700" w:rsidRPr="00CB065F">
              <w:rPr>
                <w:rFonts w:ascii="Verdana" w:hAnsi="Verdana" w:cs="Arial"/>
                <w:sz w:val="18"/>
                <w:szCs w:val="18"/>
              </w:rPr>
              <w:t>omment</w:t>
            </w:r>
          </w:p>
        </w:tc>
        <w:tc>
          <w:tcPr>
            <w:tcW w:w="9851" w:type="dxa"/>
            <w:gridSpan w:val="2"/>
            <w:tcMar>
              <w:right w:w="58" w:type="dxa"/>
            </w:tcMar>
            <w:vAlign w:val="center"/>
          </w:tcPr>
          <w:p w:rsidR="00386700" w:rsidRPr="008F7828" w:rsidRDefault="00386700"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Arial" w:hAnsi="Arial" w:cs="Arial"/>
                <w:bCs/>
                <w:color w:val="0000FF"/>
                <w:sz w:val="17"/>
                <w:szCs w:val="17"/>
              </w:rPr>
            </w:pPr>
            <w:r w:rsidRPr="008F7828">
              <w:rPr>
                <w:rFonts w:ascii="Arial" w:hAnsi="Arial" w:cs="Arial"/>
                <w:bCs/>
                <w:color w:val="0000FF"/>
                <w:sz w:val="17"/>
                <w:szCs w:val="17"/>
              </w:rPr>
              <w:fldChar w:fldCharType="begin">
                <w:ffData>
                  <w:name w:val="Text3"/>
                  <w:enabled/>
                  <w:calcOnExit w:val="0"/>
                  <w:textInput/>
                </w:ffData>
              </w:fldChar>
            </w:r>
            <w:r w:rsidRPr="008F7828">
              <w:rPr>
                <w:rFonts w:ascii="Arial" w:hAnsi="Arial" w:cs="Arial"/>
                <w:bCs/>
                <w:color w:val="0000FF"/>
                <w:sz w:val="17"/>
                <w:szCs w:val="17"/>
              </w:rPr>
              <w:instrText xml:space="preserve"> FORMTEXT </w:instrText>
            </w:r>
            <w:r w:rsidRPr="008F7828">
              <w:rPr>
                <w:rFonts w:ascii="Arial" w:hAnsi="Arial" w:cs="Arial"/>
                <w:bCs/>
                <w:color w:val="0000FF"/>
                <w:sz w:val="17"/>
                <w:szCs w:val="17"/>
              </w:rPr>
            </w:r>
            <w:r w:rsidRPr="008F7828">
              <w:rPr>
                <w:rFonts w:ascii="Arial" w:hAnsi="Arial" w:cs="Arial"/>
                <w:bCs/>
                <w:color w:val="0000FF"/>
                <w:sz w:val="17"/>
                <w:szCs w:val="17"/>
              </w:rPr>
              <w:fldChar w:fldCharType="separate"/>
            </w:r>
            <w:r w:rsidRPr="008F7828">
              <w:rPr>
                <w:rFonts w:ascii="Arial" w:eastAsia="Arial Unicode MS" w:hAnsi="Arial Unicode MS" w:cs="Arial"/>
                <w:bCs/>
                <w:noProof/>
                <w:color w:val="0000FF"/>
                <w:sz w:val="17"/>
                <w:szCs w:val="17"/>
              </w:rPr>
              <w:t> </w:t>
            </w:r>
            <w:r w:rsidRPr="008F7828">
              <w:rPr>
                <w:rFonts w:ascii="Arial" w:eastAsia="Arial Unicode MS" w:hAnsi="Arial Unicode MS" w:cs="Arial"/>
                <w:bCs/>
                <w:noProof/>
                <w:color w:val="0000FF"/>
                <w:sz w:val="17"/>
                <w:szCs w:val="17"/>
              </w:rPr>
              <w:t> </w:t>
            </w:r>
            <w:r w:rsidRPr="008F7828">
              <w:rPr>
                <w:rFonts w:ascii="Arial" w:eastAsia="Arial Unicode MS" w:hAnsi="Arial Unicode MS" w:cs="Arial"/>
                <w:bCs/>
                <w:noProof/>
                <w:color w:val="0000FF"/>
                <w:sz w:val="17"/>
                <w:szCs w:val="17"/>
              </w:rPr>
              <w:t> </w:t>
            </w:r>
            <w:r w:rsidRPr="008F7828">
              <w:rPr>
                <w:rFonts w:ascii="Arial" w:eastAsia="Arial Unicode MS" w:hAnsi="Arial Unicode MS" w:cs="Arial"/>
                <w:bCs/>
                <w:noProof/>
                <w:color w:val="0000FF"/>
                <w:sz w:val="17"/>
                <w:szCs w:val="17"/>
              </w:rPr>
              <w:t> </w:t>
            </w:r>
            <w:r w:rsidRPr="008F7828">
              <w:rPr>
                <w:rFonts w:ascii="Arial" w:eastAsia="Arial Unicode MS" w:hAnsi="Arial Unicode MS" w:cs="Arial"/>
                <w:bCs/>
                <w:noProof/>
                <w:color w:val="0000FF"/>
                <w:sz w:val="17"/>
                <w:szCs w:val="17"/>
              </w:rPr>
              <w:t> </w:t>
            </w:r>
            <w:r w:rsidRPr="008F7828">
              <w:rPr>
                <w:rFonts w:ascii="Arial" w:hAnsi="Arial" w:cs="Arial"/>
                <w:bCs/>
                <w:color w:val="0000FF"/>
                <w:sz w:val="17"/>
                <w:szCs w:val="17"/>
              </w:rPr>
              <w:fldChar w:fldCharType="end"/>
            </w:r>
          </w:p>
        </w:tc>
      </w:tr>
      <w:tr w:rsidR="00DA6498" w:rsidTr="00B272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tcBorders>
              <w:top w:val="single" w:sz="6" w:space="0" w:color="auto"/>
              <w:bottom w:val="single" w:sz="6" w:space="0" w:color="auto"/>
            </w:tcBorders>
            <w:shd w:val="clear" w:color="auto" w:fill="auto"/>
            <w:tcMar>
              <w:top w:w="14" w:type="dxa"/>
              <w:left w:w="58" w:type="dxa"/>
              <w:bottom w:w="14" w:type="dxa"/>
              <w:right w:w="58" w:type="dxa"/>
            </w:tcMar>
            <w:vAlign w:val="center"/>
          </w:tcPr>
          <w:p w:rsidR="00DA6498" w:rsidRPr="00CB065F" w:rsidRDefault="00CD4659"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51" w:type="dxa"/>
            <w:gridSpan w:val="2"/>
            <w:tcMar>
              <w:right w:w="58" w:type="dxa"/>
            </w:tcMar>
          </w:tcPr>
          <w:p w:rsidR="00DA6498" w:rsidRPr="008F7828" w:rsidRDefault="00DA6498" w:rsidP="00B272BC">
            <w:pPr>
              <w:rPr>
                <w:rFonts w:ascii="Arial" w:hAnsi="Arial" w:cs="Arial"/>
                <w:sz w:val="17"/>
                <w:szCs w:val="17"/>
              </w:rPr>
            </w:pPr>
            <w:r w:rsidRPr="008F7828">
              <w:rPr>
                <w:rFonts w:ascii="Arial" w:hAnsi="Arial" w:cs="Arial"/>
                <w:sz w:val="17"/>
                <w:szCs w:val="17"/>
              </w:rPr>
              <w:t>A202(A)(6) - Proposed points of compliance for the facility based on A.R.S. §49-244.</w:t>
            </w:r>
          </w:p>
        </w:tc>
      </w:tr>
      <w:tr w:rsidR="00DA6498" w:rsidTr="0038670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tcBorders>
              <w:top w:val="single" w:sz="6" w:space="0" w:color="auto"/>
            </w:tcBorders>
            <w:shd w:val="clear" w:color="auto" w:fill="E0E0E0"/>
            <w:tcMar>
              <w:top w:w="14" w:type="dxa"/>
              <w:left w:w="58" w:type="dxa"/>
              <w:bottom w:w="14" w:type="dxa"/>
              <w:right w:w="58" w:type="dxa"/>
            </w:tcMar>
            <w:vAlign w:val="center"/>
          </w:tcPr>
          <w:p w:rsidR="00DA6498" w:rsidRPr="00CB065F" w:rsidRDefault="007F104F"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sz w:val="18"/>
                <w:szCs w:val="18"/>
              </w:rPr>
              <w:t>C</w:t>
            </w:r>
            <w:r w:rsidR="00DA6498" w:rsidRPr="00CB065F">
              <w:rPr>
                <w:rFonts w:ascii="Verdana" w:hAnsi="Verdana" w:cs="Arial"/>
                <w:sz w:val="18"/>
                <w:szCs w:val="18"/>
              </w:rPr>
              <w:t>omment</w:t>
            </w:r>
          </w:p>
        </w:tc>
        <w:tc>
          <w:tcPr>
            <w:tcW w:w="9851" w:type="dxa"/>
            <w:gridSpan w:val="2"/>
            <w:tcMar>
              <w:right w:w="58" w:type="dxa"/>
            </w:tcMar>
            <w:vAlign w:val="center"/>
          </w:tcPr>
          <w:p w:rsidR="00DA6498" w:rsidRPr="008F7828" w:rsidRDefault="00DA6498"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Arial" w:hAnsi="Arial" w:cs="Arial"/>
                <w:bCs/>
                <w:color w:val="0000FF"/>
                <w:sz w:val="17"/>
                <w:szCs w:val="17"/>
              </w:rPr>
            </w:pPr>
            <w:r w:rsidRPr="008F7828">
              <w:rPr>
                <w:rFonts w:ascii="Arial" w:hAnsi="Arial" w:cs="Arial"/>
                <w:bCs/>
                <w:color w:val="0000FF"/>
                <w:sz w:val="17"/>
                <w:szCs w:val="17"/>
              </w:rPr>
              <w:fldChar w:fldCharType="begin">
                <w:ffData>
                  <w:name w:val="Text3"/>
                  <w:enabled/>
                  <w:calcOnExit w:val="0"/>
                  <w:textInput/>
                </w:ffData>
              </w:fldChar>
            </w:r>
            <w:r w:rsidRPr="008F7828">
              <w:rPr>
                <w:rFonts w:ascii="Arial" w:hAnsi="Arial" w:cs="Arial"/>
                <w:bCs/>
                <w:color w:val="0000FF"/>
                <w:sz w:val="17"/>
                <w:szCs w:val="17"/>
              </w:rPr>
              <w:instrText xml:space="preserve"> FORMTEXT </w:instrText>
            </w:r>
            <w:r w:rsidRPr="008F7828">
              <w:rPr>
                <w:rFonts w:ascii="Arial" w:hAnsi="Arial" w:cs="Arial"/>
                <w:bCs/>
                <w:color w:val="0000FF"/>
                <w:sz w:val="17"/>
                <w:szCs w:val="17"/>
              </w:rPr>
            </w:r>
            <w:r w:rsidRPr="008F7828">
              <w:rPr>
                <w:rFonts w:ascii="Arial" w:hAnsi="Arial" w:cs="Arial"/>
                <w:bCs/>
                <w:color w:val="0000FF"/>
                <w:sz w:val="17"/>
                <w:szCs w:val="17"/>
              </w:rPr>
              <w:fldChar w:fldCharType="separate"/>
            </w:r>
            <w:r w:rsidRPr="008F7828">
              <w:rPr>
                <w:rFonts w:ascii="Arial" w:eastAsia="Arial Unicode MS" w:hAnsi="Arial Unicode MS" w:cs="Arial"/>
                <w:bCs/>
                <w:noProof/>
                <w:color w:val="0000FF"/>
                <w:sz w:val="17"/>
                <w:szCs w:val="17"/>
              </w:rPr>
              <w:t> </w:t>
            </w:r>
            <w:r w:rsidRPr="008F7828">
              <w:rPr>
                <w:rFonts w:ascii="Arial" w:eastAsia="Arial Unicode MS" w:hAnsi="Arial Unicode MS" w:cs="Arial"/>
                <w:bCs/>
                <w:noProof/>
                <w:color w:val="0000FF"/>
                <w:sz w:val="17"/>
                <w:szCs w:val="17"/>
              </w:rPr>
              <w:t> </w:t>
            </w:r>
            <w:r w:rsidRPr="008F7828">
              <w:rPr>
                <w:rFonts w:ascii="Arial" w:eastAsia="Arial Unicode MS" w:hAnsi="Arial Unicode MS" w:cs="Arial"/>
                <w:bCs/>
                <w:noProof/>
                <w:color w:val="0000FF"/>
                <w:sz w:val="17"/>
                <w:szCs w:val="17"/>
              </w:rPr>
              <w:t> </w:t>
            </w:r>
            <w:r w:rsidRPr="008F7828">
              <w:rPr>
                <w:rFonts w:ascii="Arial" w:eastAsia="Arial Unicode MS" w:hAnsi="Arial Unicode MS" w:cs="Arial"/>
                <w:bCs/>
                <w:noProof/>
                <w:color w:val="0000FF"/>
                <w:sz w:val="17"/>
                <w:szCs w:val="17"/>
              </w:rPr>
              <w:t> </w:t>
            </w:r>
            <w:r w:rsidRPr="008F7828">
              <w:rPr>
                <w:rFonts w:ascii="Arial" w:eastAsia="Arial Unicode MS" w:hAnsi="Arial Unicode MS" w:cs="Arial"/>
                <w:bCs/>
                <w:noProof/>
                <w:color w:val="0000FF"/>
                <w:sz w:val="17"/>
                <w:szCs w:val="17"/>
              </w:rPr>
              <w:t> </w:t>
            </w:r>
            <w:r w:rsidRPr="008F7828">
              <w:rPr>
                <w:rFonts w:ascii="Arial" w:hAnsi="Arial" w:cs="Arial"/>
                <w:bCs/>
                <w:color w:val="0000FF"/>
                <w:sz w:val="17"/>
                <w:szCs w:val="17"/>
              </w:rPr>
              <w:fldChar w:fldCharType="end"/>
            </w:r>
          </w:p>
        </w:tc>
      </w:tr>
      <w:tr w:rsidR="00DA6498" w:rsidTr="00B3157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tcBorders>
              <w:top w:val="single" w:sz="6" w:space="0" w:color="auto"/>
            </w:tcBorders>
            <w:shd w:val="clear" w:color="auto" w:fill="auto"/>
            <w:tcMar>
              <w:top w:w="14" w:type="dxa"/>
              <w:left w:w="58" w:type="dxa"/>
              <w:bottom w:w="14" w:type="dxa"/>
              <w:right w:w="58" w:type="dxa"/>
            </w:tcMar>
            <w:vAlign w:val="center"/>
          </w:tcPr>
          <w:p w:rsidR="00DA6498" w:rsidRPr="00CB065F" w:rsidRDefault="00CD4659"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51" w:type="dxa"/>
            <w:gridSpan w:val="2"/>
            <w:tcMar>
              <w:right w:w="58" w:type="dxa"/>
            </w:tcMar>
            <w:vAlign w:val="center"/>
          </w:tcPr>
          <w:p w:rsidR="00DA6498" w:rsidRPr="008F7828" w:rsidRDefault="00DA6498" w:rsidP="00DA6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Arial" w:hAnsi="Arial" w:cs="Arial"/>
                <w:bCs/>
                <w:color w:val="0000FF"/>
                <w:sz w:val="17"/>
                <w:szCs w:val="17"/>
              </w:rPr>
            </w:pPr>
            <w:r w:rsidRPr="008F7828">
              <w:rPr>
                <w:rFonts w:ascii="Arial" w:hAnsi="Arial" w:cs="Arial"/>
                <w:sz w:val="17"/>
                <w:szCs w:val="17"/>
              </w:rPr>
              <w:t>A202(A)(8) - A hydrogeologic study that defines the discharge impact area</w:t>
            </w:r>
            <w:r w:rsidR="002046D1">
              <w:rPr>
                <w:rFonts w:ascii="Arial" w:hAnsi="Arial" w:cs="Arial"/>
                <w:sz w:val="17"/>
                <w:szCs w:val="17"/>
              </w:rPr>
              <w:t>,</w:t>
            </w:r>
            <w:r w:rsidR="00B81A86">
              <w:rPr>
                <w:rFonts w:ascii="Arial" w:hAnsi="Arial" w:cs="Arial"/>
                <w:sz w:val="17"/>
                <w:szCs w:val="17"/>
              </w:rPr>
              <w:t xml:space="preserve"> </w:t>
            </w:r>
            <w:r w:rsidR="00207558">
              <w:rPr>
                <w:rFonts w:ascii="Arial" w:hAnsi="Arial" w:cs="Arial"/>
                <w:sz w:val="17"/>
                <w:szCs w:val="17"/>
              </w:rPr>
              <w:t xml:space="preserve">as </w:t>
            </w:r>
            <w:r w:rsidR="00B81A86">
              <w:rPr>
                <w:rFonts w:ascii="Arial" w:hAnsi="Arial" w:cs="Arial"/>
                <w:sz w:val="17"/>
                <w:szCs w:val="17"/>
              </w:rPr>
              <w:t>required</w:t>
            </w:r>
            <w:r w:rsidRPr="008F7828">
              <w:rPr>
                <w:rFonts w:ascii="Arial" w:hAnsi="Arial" w:cs="Arial"/>
                <w:sz w:val="17"/>
                <w:szCs w:val="17"/>
              </w:rPr>
              <w:t>.</w:t>
            </w:r>
          </w:p>
        </w:tc>
      </w:tr>
      <w:tr w:rsidR="00DA6498" w:rsidTr="0038670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tcBorders>
              <w:top w:val="single" w:sz="6" w:space="0" w:color="auto"/>
            </w:tcBorders>
            <w:shd w:val="clear" w:color="auto" w:fill="E0E0E0"/>
            <w:tcMar>
              <w:top w:w="14" w:type="dxa"/>
              <w:left w:w="58" w:type="dxa"/>
              <w:bottom w:w="14" w:type="dxa"/>
              <w:right w:w="58" w:type="dxa"/>
            </w:tcMar>
            <w:vAlign w:val="center"/>
          </w:tcPr>
          <w:p w:rsidR="00DA6498" w:rsidRPr="00CB065F" w:rsidRDefault="007F104F"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sz w:val="18"/>
                <w:szCs w:val="18"/>
              </w:rPr>
              <w:t>C</w:t>
            </w:r>
            <w:r w:rsidR="00DA6498" w:rsidRPr="00CB065F">
              <w:rPr>
                <w:rFonts w:ascii="Verdana" w:hAnsi="Verdana" w:cs="Arial"/>
                <w:sz w:val="18"/>
                <w:szCs w:val="18"/>
              </w:rPr>
              <w:t>omment</w:t>
            </w:r>
          </w:p>
        </w:tc>
        <w:tc>
          <w:tcPr>
            <w:tcW w:w="9851" w:type="dxa"/>
            <w:gridSpan w:val="2"/>
            <w:tcMar>
              <w:right w:w="58" w:type="dxa"/>
            </w:tcMar>
            <w:vAlign w:val="center"/>
          </w:tcPr>
          <w:p w:rsidR="00DA6498" w:rsidRPr="008F7828" w:rsidRDefault="00DA6498"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Arial" w:hAnsi="Arial" w:cs="Arial"/>
                <w:bCs/>
                <w:color w:val="0000FF"/>
                <w:sz w:val="17"/>
                <w:szCs w:val="17"/>
              </w:rPr>
            </w:pPr>
            <w:r w:rsidRPr="008F7828">
              <w:rPr>
                <w:rFonts w:ascii="Arial" w:hAnsi="Arial" w:cs="Arial"/>
                <w:bCs/>
                <w:color w:val="0000FF"/>
                <w:sz w:val="17"/>
                <w:szCs w:val="17"/>
              </w:rPr>
              <w:fldChar w:fldCharType="begin">
                <w:ffData>
                  <w:name w:val="Text3"/>
                  <w:enabled/>
                  <w:calcOnExit w:val="0"/>
                  <w:textInput/>
                </w:ffData>
              </w:fldChar>
            </w:r>
            <w:r w:rsidRPr="008F7828">
              <w:rPr>
                <w:rFonts w:ascii="Arial" w:hAnsi="Arial" w:cs="Arial"/>
                <w:bCs/>
                <w:color w:val="0000FF"/>
                <w:sz w:val="17"/>
                <w:szCs w:val="17"/>
              </w:rPr>
              <w:instrText xml:space="preserve"> FORMTEXT </w:instrText>
            </w:r>
            <w:r w:rsidRPr="008F7828">
              <w:rPr>
                <w:rFonts w:ascii="Arial" w:hAnsi="Arial" w:cs="Arial"/>
                <w:bCs/>
                <w:color w:val="0000FF"/>
                <w:sz w:val="17"/>
                <w:szCs w:val="17"/>
              </w:rPr>
            </w:r>
            <w:r w:rsidRPr="008F7828">
              <w:rPr>
                <w:rFonts w:ascii="Arial" w:hAnsi="Arial" w:cs="Arial"/>
                <w:bCs/>
                <w:color w:val="0000FF"/>
                <w:sz w:val="17"/>
                <w:szCs w:val="17"/>
              </w:rPr>
              <w:fldChar w:fldCharType="separate"/>
            </w:r>
            <w:r w:rsidRPr="008F7828">
              <w:rPr>
                <w:rFonts w:ascii="Arial" w:eastAsia="Arial Unicode MS" w:hAnsi="Arial Unicode MS" w:cs="Arial"/>
                <w:bCs/>
                <w:noProof/>
                <w:color w:val="0000FF"/>
                <w:sz w:val="17"/>
                <w:szCs w:val="17"/>
              </w:rPr>
              <w:t> </w:t>
            </w:r>
            <w:r w:rsidRPr="008F7828">
              <w:rPr>
                <w:rFonts w:ascii="Arial" w:eastAsia="Arial Unicode MS" w:hAnsi="Arial Unicode MS" w:cs="Arial"/>
                <w:bCs/>
                <w:noProof/>
                <w:color w:val="0000FF"/>
                <w:sz w:val="17"/>
                <w:szCs w:val="17"/>
              </w:rPr>
              <w:t> </w:t>
            </w:r>
            <w:r w:rsidRPr="008F7828">
              <w:rPr>
                <w:rFonts w:ascii="Arial" w:eastAsia="Arial Unicode MS" w:hAnsi="Arial Unicode MS" w:cs="Arial"/>
                <w:bCs/>
                <w:noProof/>
                <w:color w:val="0000FF"/>
                <w:sz w:val="17"/>
                <w:szCs w:val="17"/>
              </w:rPr>
              <w:t> </w:t>
            </w:r>
            <w:r w:rsidRPr="008F7828">
              <w:rPr>
                <w:rFonts w:ascii="Arial" w:eastAsia="Arial Unicode MS" w:hAnsi="Arial Unicode MS" w:cs="Arial"/>
                <w:bCs/>
                <w:noProof/>
                <w:color w:val="0000FF"/>
                <w:sz w:val="17"/>
                <w:szCs w:val="17"/>
              </w:rPr>
              <w:t> </w:t>
            </w:r>
            <w:r w:rsidRPr="008F7828">
              <w:rPr>
                <w:rFonts w:ascii="Arial" w:eastAsia="Arial Unicode MS" w:hAnsi="Arial Unicode MS" w:cs="Arial"/>
                <w:bCs/>
                <w:noProof/>
                <w:color w:val="0000FF"/>
                <w:sz w:val="17"/>
                <w:szCs w:val="17"/>
              </w:rPr>
              <w:t> </w:t>
            </w:r>
            <w:r w:rsidRPr="008F7828">
              <w:rPr>
                <w:rFonts w:ascii="Arial" w:hAnsi="Arial" w:cs="Arial"/>
                <w:bCs/>
                <w:color w:val="0000FF"/>
                <w:sz w:val="17"/>
                <w:szCs w:val="17"/>
              </w:rPr>
              <w:fldChar w:fldCharType="end"/>
            </w:r>
          </w:p>
        </w:tc>
      </w:tr>
      <w:tr w:rsidR="00DA6498" w:rsidTr="00CB065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vAlign w:val="center"/>
          </w:tcPr>
          <w:p w:rsidR="00DA6498" w:rsidRPr="00CB065F" w:rsidRDefault="00CD4659" w:rsidP="00E43088">
            <w:pPr>
              <w:jc w:val="center"/>
              <w:rPr>
                <w:rFonts w:ascii="Verdana" w:hAnsi="Verdana" w:cs="Arial"/>
                <w:b/>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51" w:type="dxa"/>
            <w:gridSpan w:val="2"/>
            <w:tcMar>
              <w:top w:w="14" w:type="dxa"/>
              <w:left w:w="58" w:type="dxa"/>
              <w:bottom w:w="14" w:type="dxa"/>
              <w:right w:w="58" w:type="dxa"/>
            </w:tcMar>
            <w:vAlign w:val="center"/>
          </w:tcPr>
          <w:p w:rsidR="00DA6498" w:rsidRPr="008F7828" w:rsidRDefault="00DA6498" w:rsidP="00DA6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7"/>
                <w:szCs w:val="17"/>
              </w:rPr>
            </w:pPr>
            <w:r w:rsidRPr="008F7828">
              <w:rPr>
                <w:rFonts w:ascii="Arial" w:hAnsi="Arial" w:cs="Arial"/>
                <w:sz w:val="17"/>
                <w:szCs w:val="17"/>
              </w:rPr>
              <w:t>A202(A)(8)(a)(i) - The hydrog</w:t>
            </w:r>
            <w:r w:rsidR="0023354C" w:rsidRPr="008F7828">
              <w:rPr>
                <w:rFonts w:ascii="Arial" w:hAnsi="Arial" w:cs="Arial"/>
                <w:sz w:val="17"/>
                <w:szCs w:val="17"/>
              </w:rPr>
              <w:t>eologic study shall demonstrate t</w:t>
            </w:r>
            <w:r w:rsidRPr="008F7828">
              <w:rPr>
                <w:rFonts w:ascii="Arial" w:hAnsi="Arial" w:cs="Arial"/>
                <w:sz w:val="17"/>
                <w:szCs w:val="17"/>
              </w:rPr>
              <w:t>hat the facility will not cause or contribute to a violation of an AWQS at the applicable point of compliance; or</w:t>
            </w:r>
            <w:r w:rsidR="0023354C" w:rsidRPr="008F7828">
              <w:rPr>
                <w:rFonts w:ascii="Arial" w:hAnsi="Arial" w:cs="Arial"/>
                <w:sz w:val="17"/>
                <w:szCs w:val="17"/>
              </w:rPr>
              <w:t xml:space="preserve"> (see A202(A)(8)(a)(ii))</w:t>
            </w:r>
          </w:p>
        </w:tc>
      </w:tr>
      <w:tr w:rsidR="00DA6498" w:rsidTr="00CB065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shd w:val="clear" w:color="auto" w:fill="E0E0E0"/>
            <w:tcMar>
              <w:top w:w="14" w:type="dxa"/>
              <w:left w:w="58" w:type="dxa"/>
              <w:bottom w:w="14" w:type="dxa"/>
              <w:right w:w="58" w:type="dxa"/>
            </w:tcMar>
            <w:vAlign w:val="center"/>
          </w:tcPr>
          <w:p w:rsidR="00DA6498" w:rsidRPr="00CB065F" w:rsidRDefault="007F104F"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sz w:val="18"/>
                <w:szCs w:val="18"/>
              </w:rPr>
              <w:t>C</w:t>
            </w:r>
            <w:r w:rsidR="00DA6498" w:rsidRPr="00CB065F">
              <w:rPr>
                <w:rFonts w:ascii="Verdana" w:hAnsi="Verdana" w:cs="Arial"/>
                <w:sz w:val="18"/>
                <w:szCs w:val="18"/>
              </w:rPr>
              <w:t>omment</w:t>
            </w:r>
          </w:p>
        </w:tc>
        <w:tc>
          <w:tcPr>
            <w:tcW w:w="9851" w:type="dxa"/>
            <w:gridSpan w:val="2"/>
            <w:tcMar>
              <w:right w:w="58" w:type="dxa"/>
            </w:tcMar>
            <w:vAlign w:val="center"/>
          </w:tcPr>
          <w:p w:rsidR="00DA6498" w:rsidRPr="008F7828" w:rsidRDefault="00DA6498"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Arial" w:hAnsi="Arial" w:cs="Arial"/>
                <w:sz w:val="17"/>
                <w:szCs w:val="17"/>
              </w:rPr>
            </w:pPr>
            <w:r w:rsidRPr="008F7828">
              <w:rPr>
                <w:rFonts w:ascii="Arial" w:hAnsi="Arial" w:cs="Arial"/>
                <w:bCs/>
                <w:color w:val="0000FF"/>
                <w:sz w:val="17"/>
                <w:szCs w:val="17"/>
              </w:rPr>
              <w:fldChar w:fldCharType="begin">
                <w:ffData>
                  <w:name w:val="Text3"/>
                  <w:enabled/>
                  <w:calcOnExit w:val="0"/>
                  <w:textInput/>
                </w:ffData>
              </w:fldChar>
            </w:r>
            <w:r w:rsidRPr="008F7828">
              <w:rPr>
                <w:rFonts w:ascii="Arial" w:hAnsi="Arial" w:cs="Arial"/>
                <w:bCs/>
                <w:color w:val="0000FF"/>
                <w:sz w:val="17"/>
                <w:szCs w:val="17"/>
              </w:rPr>
              <w:instrText xml:space="preserve"> FORMTEXT </w:instrText>
            </w:r>
            <w:r w:rsidRPr="008F7828">
              <w:rPr>
                <w:rFonts w:ascii="Arial" w:hAnsi="Arial" w:cs="Arial"/>
                <w:bCs/>
                <w:color w:val="0000FF"/>
                <w:sz w:val="17"/>
                <w:szCs w:val="17"/>
              </w:rPr>
            </w:r>
            <w:r w:rsidRPr="008F7828">
              <w:rPr>
                <w:rFonts w:ascii="Arial" w:hAnsi="Arial" w:cs="Arial"/>
                <w:bCs/>
                <w:color w:val="0000FF"/>
                <w:sz w:val="17"/>
                <w:szCs w:val="17"/>
              </w:rPr>
              <w:fldChar w:fldCharType="separate"/>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color w:val="0000FF"/>
                <w:sz w:val="17"/>
                <w:szCs w:val="17"/>
              </w:rPr>
              <w:fldChar w:fldCharType="end"/>
            </w:r>
          </w:p>
        </w:tc>
      </w:tr>
      <w:tr w:rsidR="00DA6498" w:rsidTr="00CB065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vAlign w:val="center"/>
          </w:tcPr>
          <w:p w:rsidR="00DA6498" w:rsidRPr="00CB065F" w:rsidRDefault="00CD4659" w:rsidP="00E43088">
            <w:pPr>
              <w:jc w:val="center"/>
              <w:rPr>
                <w:rFonts w:ascii="Verdana" w:hAnsi="Verdana" w:cs="Arial"/>
                <w:b/>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51" w:type="dxa"/>
            <w:gridSpan w:val="2"/>
            <w:tcMar>
              <w:top w:w="14" w:type="dxa"/>
              <w:left w:w="58" w:type="dxa"/>
              <w:bottom w:w="14" w:type="dxa"/>
              <w:right w:w="58" w:type="dxa"/>
            </w:tcMar>
            <w:vAlign w:val="center"/>
          </w:tcPr>
          <w:p w:rsidR="00DA6498" w:rsidRPr="008F7828" w:rsidRDefault="00DA6498" w:rsidP="00E43088">
            <w:pPr>
              <w:rPr>
                <w:rFonts w:ascii="Arial" w:hAnsi="Arial" w:cs="Arial"/>
                <w:sz w:val="17"/>
                <w:szCs w:val="17"/>
              </w:rPr>
            </w:pPr>
            <w:r w:rsidRPr="008F7828">
              <w:rPr>
                <w:rFonts w:ascii="Arial" w:hAnsi="Arial" w:cs="Arial"/>
                <w:sz w:val="17"/>
                <w:szCs w:val="17"/>
              </w:rPr>
              <w:t>A202(A)(8)(a)(ii) - If the AWQS for a pollutant is exceeded in an aquifer at the time of permit issuance, that no additional degradation of the aquifer relative to that pollutant and determined at the applicable point of compliance will occur as a result of the discharge from the proposed facilities</w:t>
            </w:r>
          </w:p>
        </w:tc>
      </w:tr>
      <w:tr w:rsidR="00DA6498" w:rsidTr="00CB065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shd w:val="clear" w:color="auto" w:fill="E0E0E0"/>
            <w:tcMar>
              <w:top w:w="14" w:type="dxa"/>
              <w:left w:w="58" w:type="dxa"/>
              <w:bottom w:w="14" w:type="dxa"/>
              <w:right w:w="58" w:type="dxa"/>
            </w:tcMar>
            <w:vAlign w:val="center"/>
          </w:tcPr>
          <w:p w:rsidR="00DA6498" w:rsidRPr="00CB065F" w:rsidRDefault="007F104F"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sz w:val="18"/>
                <w:szCs w:val="18"/>
              </w:rPr>
              <w:t>C</w:t>
            </w:r>
            <w:r w:rsidR="00DA6498" w:rsidRPr="00CB065F">
              <w:rPr>
                <w:rFonts w:ascii="Verdana" w:hAnsi="Verdana" w:cs="Arial"/>
                <w:sz w:val="18"/>
                <w:szCs w:val="18"/>
              </w:rPr>
              <w:t>omment</w:t>
            </w:r>
          </w:p>
        </w:tc>
        <w:tc>
          <w:tcPr>
            <w:tcW w:w="9851" w:type="dxa"/>
            <w:gridSpan w:val="2"/>
            <w:tcMar>
              <w:right w:w="58" w:type="dxa"/>
            </w:tcMar>
            <w:vAlign w:val="center"/>
          </w:tcPr>
          <w:p w:rsidR="00DA6498" w:rsidRPr="008F7828" w:rsidRDefault="00DA6498"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Arial" w:hAnsi="Arial" w:cs="Arial"/>
                <w:color w:val="0000FF"/>
                <w:sz w:val="17"/>
                <w:szCs w:val="17"/>
              </w:rPr>
            </w:pPr>
            <w:r w:rsidRPr="008F7828">
              <w:rPr>
                <w:rFonts w:ascii="Arial" w:hAnsi="Arial" w:cs="Arial"/>
                <w:bCs/>
                <w:color w:val="0000FF"/>
                <w:sz w:val="17"/>
                <w:szCs w:val="17"/>
              </w:rPr>
              <w:fldChar w:fldCharType="begin">
                <w:ffData>
                  <w:name w:val="Text3"/>
                  <w:enabled/>
                  <w:calcOnExit w:val="0"/>
                  <w:textInput/>
                </w:ffData>
              </w:fldChar>
            </w:r>
            <w:r w:rsidRPr="008F7828">
              <w:rPr>
                <w:rFonts w:ascii="Arial" w:hAnsi="Arial" w:cs="Arial"/>
                <w:bCs/>
                <w:color w:val="0000FF"/>
                <w:sz w:val="17"/>
                <w:szCs w:val="17"/>
              </w:rPr>
              <w:instrText xml:space="preserve"> FORMTEXT </w:instrText>
            </w:r>
            <w:r w:rsidRPr="008F7828">
              <w:rPr>
                <w:rFonts w:ascii="Arial" w:hAnsi="Arial" w:cs="Arial"/>
                <w:bCs/>
                <w:color w:val="0000FF"/>
                <w:sz w:val="17"/>
                <w:szCs w:val="17"/>
              </w:rPr>
            </w:r>
            <w:r w:rsidRPr="008F7828">
              <w:rPr>
                <w:rFonts w:ascii="Arial" w:hAnsi="Arial" w:cs="Arial"/>
                <w:bCs/>
                <w:color w:val="0000FF"/>
                <w:sz w:val="17"/>
                <w:szCs w:val="17"/>
              </w:rPr>
              <w:fldChar w:fldCharType="separate"/>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color w:val="0000FF"/>
                <w:sz w:val="17"/>
                <w:szCs w:val="17"/>
              </w:rPr>
              <w:fldChar w:fldCharType="end"/>
            </w:r>
          </w:p>
        </w:tc>
      </w:tr>
      <w:tr w:rsidR="0023354C" w:rsidTr="0023354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shd w:val="clear" w:color="auto" w:fill="auto"/>
            <w:tcMar>
              <w:top w:w="14" w:type="dxa"/>
              <w:left w:w="58" w:type="dxa"/>
              <w:bottom w:w="14" w:type="dxa"/>
              <w:right w:w="58" w:type="dxa"/>
            </w:tcMar>
            <w:vAlign w:val="center"/>
          </w:tcPr>
          <w:p w:rsidR="0023354C" w:rsidRPr="00CB065F" w:rsidRDefault="00CD4659" w:rsidP="00B272BC">
            <w:pPr>
              <w:jc w:val="center"/>
              <w:rPr>
                <w:rFonts w:ascii="Verdana" w:hAnsi="Verdana" w:cs="Arial"/>
                <w:b/>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51" w:type="dxa"/>
            <w:gridSpan w:val="2"/>
            <w:tcMar>
              <w:right w:w="58" w:type="dxa"/>
            </w:tcMar>
            <w:vAlign w:val="center"/>
          </w:tcPr>
          <w:p w:rsidR="0023354C" w:rsidRPr="008F7828" w:rsidRDefault="0023354C" w:rsidP="00B272BC">
            <w:pPr>
              <w:rPr>
                <w:rFonts w:ascii="Arial" w:hAnsi="Arial" w:cs="Arial"/>
                <w:sz w:val="17"/>
                <w:szCs w:val="17"/>
              </w:rPr>
            </w:pPr>
            <w:r w:rsidRPr="008F7828">
              <w:rPr>
                <w:rFonts w:ascii="Arial" w:hAnsi="Arial" w:cs="Arial"/>
                <w:sz w:val="17"/>
                <w:szCs w:val="17"/>
              </w:rPr>
              <w:t xml:space="preserve">A202A(9) </w:t>
            </w:r>
            <w:r w:rsidR="005B050E" w:rsidRPr="008F7828">
              <w:rPr>
                <w:rFonts w:ascii="Arial" w:hAnsi="Arial" w:cs="Arial"/>
                <w:sz w:val="17"/>
                <w:szCs w:val="17"/>
              </w:rPr>
              <w:t>–</w:t>
            </w:r>
            <w:r w:rsidRPr="008F7828">
              <w:rPr>
                <w:rFonts w:ascii="Arial" w:hAnsi="Arial" w:cs="Arial"/>
                <w:sz w:val="17"/>
                <w:szCs w:val="17"/>
              </w:rPr>
              <w:t xml:space="preserve"> A detailed proposal indicating the alert levels, discharge limitations, monitoring requirements, compliance schedules, and temporary cessation or plans the applicant will use to satisfy the requirements of the APP rules and statutes.</w:t>
            </w:r>
          </w:p>
        </w:tc>
      </w:tr>
      <w:tr w:rsidR="0023354C" w:rsidTr="00CB065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shd w:val="clear" w:color="auto" w:fill="E0E0E0"/>
            <w:tcMar>
              <w:top w:w="14" w:type="dxa"/>
              <w:left w:w="58" w:type="dxa"/>
              <w:bottom w:w="14" w:type="dxa"/>
              <w:right w:w="58" w:type="dxa"/>
            </w:tcMar>
            <w:vAlign w:val="center"/>
          </w:tcPr>
          <w:p w:rsidR="0023354C" w:rsidRPr="00CB065F" w:rsidRDefault="007F104F"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sz w:val="18"/>
                <w:szCs w:val="18"/>
              </w:rPr>
              <w:t>C</w:t>
            </w:r>
            <w:r w:rsidR="0023354C" w:rsidRPr="00CB065F">
              <w:rPr>
                <w:rFonts w:ascii="Verdana" w:hAnsi="Verdana" w:cs="Arial"/>
                <w:sz w:val="18"/>
                <w:szCs w:val="18"/>
              </w:rPr>
              <w:t>omment</w:t>
            </w:r>
          </w:p>
        </w:tc>
        <w:tc>
          <w:tcPr>
            <w:tcW w:w="9851" w:type="dxa"/>
            <w:gridSpan w:val="2"/>
            <w:tcMar>
              <w:right w:w="58" w:type="dxa"/>
            </w:tcMar>
            <w:vAlign w:val="center"/>
          </w:tcPr>
          <w:p w:rsidR="0023354C" w:rsidRPr="008F7828" w:rsidRDefault="0023354C"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Arial" w:hAnsi="Arial" w:cs="Arial"/>
                <w:color w:val="0000FF"/>
                <w:sz w:val="17"/>
                <w:szCs w:val="17"/>
              </w:rPr>
            </w:pPr>
            <w:r w:rsidRPr="008F7828">
              <w:rPr>
                <w:rFonts w:ascii="Arial" w:hAnsi="Arial" w:cs="Arial"/>
                <w:bCs/>
                <w:color w:val="0000FF"/>
                <w:sz w:val="17"/>
                <w:szCs w:val="17"/>
              </w:rPr>
              <w:fldChar w:fldCharType="begin">
                <w:ffData>
                  <w:name w:val="Text3"/>
                  <w:enabled/>
                  <w:calcOnExit w:val="0"/>
                  <w:textInput/>
                </w:ffData>
              </w:fldChar>
            </w:r>
            <w:r w:rsidRPr="008F7828">
              <w:rPr>
                <w:rFonts w:ascii="Arial" w:hAnsi="Arial" w:cs="Arial"/>
                <w:bCs/>
                <w:color w:val="0000FF"/>
                <w:sz w:val="17"/>
                <w:szCs w:val="17"/>
              </w:rPr>
              <w:instrText xml:space="preserve"> FORMTEXT </w:instrText>
            </w:r>
            <w:r w:rsidRPr="008F7828">
              <w:rPr>
                <w:rFonts w:ascii="Arial" w:hAnsi="Arial" w:cs="Arial"/>
                <w:bCs/>
                <w:color w:val="0000FF"/>
                <w:sz w:val="17"/>
                <w:szCs w:val="17"/>
              </w:rPr>
            </w:r>
            <w:r w:rsidRPr="008F7828">
              <w:rPr>
                <w:rFonts w:ascii="Arial" w:hAnsi="Arial" w:cs="Arial"/>
                <w:bCs/>
                <w:color w:val="0000FF"/>
                <w:sz w:val="17"/>
                <w:szCs w:val="17"/>
              </w:rPr>
              <w:fldChar w:fldCharType="separate"/>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noProof/>
                <w:color w:val="0000FF"/>
                <w:sz w:val="17"/>
                <w:szCs w:val="17"/>
              </w:rPr>
              <w:t> </w:t>
            </w:r>
            <w:r w:rsidRPr="008F7828">
              <w:rPr>
                <w:rFonts w:ascii="Arial" w:hAnsi="Arial" w:cs="Arial"/>
                <w:bCs/>
                <w:color w:val="0000FF"/>
                <w:sz w:val="17"/>
                <w:szCs w:val="17"/>
              </w:rPr>
              <w:fldChar w:fldCharType="end"/>
            </w:r>
          </w:p>
        </w:tc>
      </w:tr>
    </w:tbl>
    <w:p w:rsidR="0023354C" w:rsidRDefault="0023354C"/>
    <w:p w:rsidR="0023354C" w:rsidRDefault="0023354C">
      <w:r>
        <w:br w:type="page"/>
      </w:r>
    </w:p>
    <w:tbl>
      <w:tblPr>
        <w:tblW w:w="10930" w:type="dxa"/>
        <w:jc w:val="center"/>
        <w:tblInd w:w="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079"/>
        <w:gridCol w:w="9851"/>
      </w:tblGrid>
      <w:tr w:rsidR="0023354C" w:rsidTr="0023354C">
        <w:trPr>
          <w:cantSplit/>
          <w:jc w:val="center"/>
        </w:trPr>
        <w:tc>
          <w:tcPr>
            <w:tcW w:w="10930" w:type="dxa"/>
            <w:gridSpan w:val="2"/>
            <w:tcBorders>
              <w:top w:val="single" w:sz="18" w:space="0" w:color="auto"/>
              <w:bottom w:val="single" w:sz="12" w:space="0" w:color="auto"/>
            </w:tcBorders>
            <w:shd w:val="clear" w:color="auto" w:fill="FFFF99"/>
            <w:tcMar>
              <w:top w:w="14" w:type="dxa"/>
              <w:left w:w="58" w:type="dxa"/>
              <w:bottom w:w="14" w:type="dxa"/>
              <w:right w:w="58" w:type="dxa"/>
            </w:tcMar>
            <w:vAlign w:val="center"/>
          </w:tcPr>
          <w:p w:rsidR="0023354C" w:rsidRDefault="00207558" w:rsidP="00207558">
            <w:pPr>
              <w:rPr>
                <w:rFonts w:ascii="Arial" w:hAnsi="Arial" w:cs="Arial"/>
                <w:b/>
                <w:bCs/>
              </w:rPr>
            </w:pPr>
            <w:r>
              <w:rPr>
                <w:rFonts w:ascii="Arial" w:hAnsi="Arial" w:cs="Arial"/>
                <w:b/>
                <w:bCs/>
              </w:rPr>
              <w:lastRenderedPageBreak/>
              <w:t xml:space="preserve">General </w:t>
            </w:r>
            <w:r w:rsidR="0023354C">
              <w:rPr>
                <w:rFonts w:ascii="Arial" w:hAnsi="Arial" w:cs="Arial"/>
                <w:b/>
                <w:bCs/>
              </w:rPr>
              <w:t>Requirements for (WWTP, Mining, and Industrial</w:t>
            </w:r>
            <w:r>
              <w:rPr>
                <w:rFonts w:ascii="Arial" w:hAnsi="Arial" w:cs="Arial"/>
                <w:b/>
                <w:bCs/>
              </w:rPr>
              <w:t>)</w:t>
            </w:r>
            <w:r w:rsidR="0023354C">
              <w:rPr>
                <w:rFonts w:ascii="Arial" w:hAnsi="Arial" w:cs="Arial"/>
                <w:b/>
                <w:bCs/>
              </w:rPr>
              <w:t xml:space="preserve"> APP </w:t>
            </w:r>
            <w:r>
              <w:rPr>
                <w:rFonts w:ascii="Arial" w:hAnsi="Arial" w:cs="Arial"/>
                <w:b/>
                <w:bCs/>
              </w:rPr>
              <w:t>Applications</w:t>
            </w:r>
            <w:r w:rsidR="0023354C">
              <w:rPr>
                <w:rFonts w:ascii="Arial" w:hAnsi="Arial" w:cs="Arial"/>
                <w:b/>
                <w:bCs/>
              </w:rPr>
              <w:t xml:space="preserve"> and Significant amendments</w:t>
            </w:r>
          </w:p>
        </w:tc>
      </w:tr>
      <w:tr w:rsidR="0023354C" w:rsidTr="0023354C">
        <w:trPr>
          <w:cantSplit/>
          <w:jc w:val="center"/>
        </w:trPr>
        <w:tc>
          <w:tcPr>
            <w:tcW w:w="10930" w:type="dxa"/>
            <w:gridSpan w:val="2"/>
            <w:tcBorders>
              <w:top w:val="single" w:sz="12" w:space="0" w:color="auto"/>
              <w:bottom w:val="single" w:sz="12" w:space="0" w:color="auto"/>
            </w:tcBorders>
            <w:shd w:val="clear" w:color="auto" w:fill="E0E0E0"/>
            <w:tcMar>
              <w:top w:w="14" w:type="dxa"/>
              <w:left w:w="58" w:type="dxa"/>
              <w:bottom w:w="14" w:type="dxa"/>
              <w:right w:w="58" w:type="dxa"/>
            </w:tcMar>
            <w:vAlign w:val="center"/>
          </w:tcPr>
          <w:p w:rsidR="0023354C" w:rsidRDefault="0023354C" w:rsidP="00B272BC">
            <w:pPr>
              <w:jc w:val="center"/>
              <w:rPr>
                <w:rFonts w:ascii="Arial" w:hAnsi="Arial" w:cs="Arial"/>
                <w:sz w:val="16"/>
                <w:szCs w:val="16"/>
              </w:rPr>
            </w:pPr>
            <w:r>
              <w:rPr>
                <w:rFonts w:ascii="Arial" w:hAnsi="Arial" w:cs="Arial"/>
                <w:color w:val="0000FF"/>
                <w:sz w:val="16"/>
                <w:szCs w:val="16"/>
              </w:rPr>
              <w:t>Y: yes, meets the requirement</w:t>
            </w:r>
            <w:r>
              <w:rPr>
                <w:rFonts w:ascii="Arial" w:hAnsi="Arial" w:cs="Arial"/>
                <w:color w:val="000000"/>
                <w:sz w:val="16"/>
                <w:szCs w:val="16"/>
              </w:rPr>
              <w:t xml:space="preserve">;   </w:t>
            </w:r>
            <w:r>
              <w:rPr>
                <w:rFonts w:ascii="Arial" w:hAnsi="Arial" w:cs="Arial"/>
                <w:sz w:val="16"/>
                <w:szCs w:val="16"/>
              </w:rPr>
              <w:t xml:space="preserve"> </w:t>
            </w:r>
            <w:r>
              <w:rPr>
                <w:rFonts w:ascii="Arial" w:hAnsi="Arial" w:cs="Arial"/>
                <w:color w:val="FF0000"/>
                <w:sz w:val="16"/>
                <w:szCs w:val="16"/>
              </w:rPr>
              <w:t>N: no, does not meet the requirement (see comment below)</w:t>
            </w:r>
            <w:r>
              <w:rPr>
                <w:rFonts w:ascii="Arial" w:hAnsi="Arial" w:cs="Arial"/>
                <w:color w:val="000000"/>
                <w:sz w:val="16"/>
                <w:szCs w:val="16"/>
              </w:rPr>
              <w:t>;</w:t>
            </w:r>
            <w:r>
              <w:rPr>
                <w:rFonts w:ascii="Arial" w:hAnsi="Arial" w:cs="Arial"/>
                <w:sz w:val="16"/>
                <w:szCs w:val="16"/>
              </w:rPr>
              <w:t xml:space="preserve">    NA: does not apply</w:t>
            </w:r>
          </w:p>
        </w:tc>
      </w:tr>
      <w:tr w:rsidR="0023354C" w:rsidTr="0023354C">
        <w:trPr>
          <w:cantSplit/>
          <w:jc w:val="center"/>
        </w:trPr>
        <w:tc>
          <w:tcPr>
            <w:tcW w:w="10930" w:type="dxa"/>
            <w:gridSpan w:val="2"/>
            <w:tcBorders>
              <w:top w:val="single" w:sz="12" w:space="0" w:color="auto"/>
            </w:tcBorders>
            <w:shd w:val="clear" w:color="auto" w:fill="E0E0E0"/>
            <w:tcMar>
              <w:top w:w="14" w:type="dxa"/>
              <w:left w:w="58" w:type="dxa"/>
              <w:bottom w:w="14" w:type="dxa"/>
              <w:right w:w="58" w:type="dxa"/>
            </w:tcMar>
            <w:vAlign w:val="center"/>
          </w:tcPr>
          <w:p w:rsidR="0023354C" w:rsidRPr="0023354C" w:rsidRDefault="0023354C" w:rsidP="0023354C">
            <w:pPr>
              <w:rPr>
                <w:b/>
                <w:sz w:val="22"/>
                <w:szCs w:val="22"/>
              </w:rPr>
            </w:pPr>
            <w:r w:rsidRPr="0023354C">
              <w:rPr>
                <w:b/>
                <w:sz w:val="22"/>
                <w:szCs w:val="22"/>
              </w:rPr>
              <w:t>Based on the quantity and characteristics of pollutants discharged, methods of disposal, and site conditions, the Department may require the applicant to provide</w:t>
            </w:r>
            <w:r>
              <w:rPr>
                <w:b/>
                <w:sz w:val="22"/>
                <w:szCs w:val="22"/>
              </w:rPr>
              <w:t xml:space="preserve"> the following items (R18-9-A202(A)(8)(b).</w:t>
            </w:r>
          </w:p>
        </w:tc>
      </w:tr>
      <w:tr w:rsidR="0023354C" w:rsidTr="00CB065F">
        <w:trPr>
          <w:cantSplit/>
          <w:jc w:val="center"/>
        </w:trPr>
        <w:tc>
          <w:tcPr>
            <w:tcW w:w="1079" w:type="dxa"/>
            <w:vAlign w:val="center"/>
          </w:tcPr>
          <w:p w:rsidR="0023354C" w:rsidRPr="00CB065F" w:rsidRDefault="00CD4659" w:rsidP="00E43088">
            <w:pPr>
              <w:jc w:val="center"/>
              <w:rPr>
                <w:rFonts w:ascii="Verdana" w:hAnsi="Verdana" w:cs="Arial"/>
                <w:b/>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51" w:type="dxa"/>
            <w:tcMar>
              <w:top w:w="14" w:type="dxa"/>
              <w:left w:w="58" w:type="dxa"/>
              <w:bottom w:w="14" w:type="dxa"/>
              <w:right w:w="58" w:type="dxa"/>
            </w:tcMar>
            <w:vAlign w:val="center"/>
          </w:tcPr>
          <w:p w:rsidR="0023354C" w:rsidRPr="008F7828" w:rsidRDefault="0023354C" w:rsidP="00E43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8F7828">
              <w:rPr>
                <w:rFonts w:ascii="Arial" w:hAnsi="Arial" w:cs="Arial"/>
                <w:sz w:val="18"/>
                <w:szCs w:val="18"/>
              </w:rPr>
              <w:t>A202(A)(8)(b)(i) - A description of the surface and subsurface geology, including a description of all borings;</w:t>
            </w:r>
          </w:p>
        </w:tc>
      </w:tr>
      <w:tr w:rsidR="0023354C" w:rsidTr="00CB065F">
        <w:trPr>
          <w:cantSplit/>
          <w:jc w:val="center"/>
        </w:trPr>
        <w:tc>
          <w:tcPr>
            <w:tcW w:w="1079" w:type="dxa"/>
            <w:vAlign w:val="center"/>
          </w:tcPr>
          <w:p w:rsidR="0023354C" w:rsidRPr="00CB065F" w:rsidRDefault="007F104F" w:rsidP="0095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sz w:val="18"/>
                <w:szCs w:val="18"/>
              </w:rPr>
              <w:t>C</w:t>
            </w:r>
            <w:r w:rsidR="0023354C" w:rsidRPr="00CB065F">
              <w:rPr>
                <w:rFonts w:ascii="Verdana" w:hAnsi="Verdana" w:cs="Arial"/>
                <w:sz w:val="18"/>
                <w:szCs w:val="18"/>
              </w:rPr>
              <w:t>omment</w:t>
            </w:r>
          </w:p>
        </w:tc>
        <w:tc>
          <w:tcPr>
            <w:tcW w:w="9851" w:type="dxa"/>
            <w:tcMar>
              <w:top w:w="14" w:type="dxa"/>
              <w:left w:w="58" w:type="dxa"/>
              <w:bottom w:w="14" w:type="dxa"/>
              <w:right w:w="58" w:type="dxa"/>
            </w:tcMar>
            <w:vAlign w:val="center"/>
          </w:tcPr>
          <w:p w:rsidR="0023354C" w:rsidRPr="008F7828" w:rsidRDefault="0023354C" w:rsidP="00CB06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Arial" w:hAnsi="Arial" w:cs="Arial"/>
                <w:color w:val="0000FF"/>
                <w:sz w:val="18"/>
                <w:szCs w:val="18"/>
              </w:rPr>
            </w:pPr>
            <w:r w:rsidRPr="008F7828">
              <w:rPr>
                <w:rFonts w:ascii="Arial" w:hAnsi="Arial" w:cs="Arial"/>
                <w:bCs/>
                <w:color w:val="0000FF"/>
                <w:sz w:val="18"/>
                <w:szCs w:val="18"/>
              </w:rPr>
              <w:fldChar w:fldCharType="begin">
                <w:ffData>
                  <w:name w:val=""/>
                  <w:enabled/>
                  <w:calcOnExit w:val="0"/>
                  <w:textInput/>
                </w:ffData>
              </w:fldChar>
            </w:r>
            <w:r w:rsidRPr="008F7828">
              <w:rPr>
                <w:rFonts w:ascii="Arial" w:hAnsi="Arial" w:cs="Arial"/>
                <w:bCs/>
                <w:color w:val="0000FF"/>
                <w:sz w:val="18"/>
                <w:szCs w:val="18"/>
              </w:rPr>
              <w:instrText xml:space="preserve"> FORMTEXT </w:instrText>
            </w:r>
            <w:r w:rsidRPr="008F7828">
              <w:rPr>
                <w:rFonts w:ascii="Arial" w:hAnsi="Arial" w:cs="Arial"/>
                <w:bCs/>
                <w:color w:val="0000FF"/>
                <w:sz w:val="18"/>
                <w:szCs w:val="18"/>
              </w:rPr>
            </w:r>
            <w:r w:rsidRPr="008F7828">
              <w:rPr>
                <w:rFonts w:ascii="Arial" w:hAnsi="Arial" w:cs="Arial"/>
                <w:bCs/>
                <w:color w:val="0000FF"/>
                <w:sz w:val="18"/>
                <w:szCs w:val="18"/>
              </w:rPr>
              <w:fldChar w:fldCharType="separate"/>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hAnsi="Arial" w:cs="Arial"/>
                <w:bCs/>
                <w:color w:val="0000FF"/>
                <w:sz w:val="18"/>
                <w:szCs w:val="18"/>
              </w:rPr>
              <w:fldChar w:fldCharType="end"/>
            </w:r>
          </w:p>
        </w:tc>
      </w:tr>
      <w:tr w:rsidR="0023354C" w:rsidTr="00CB065F">
        <w:trPr>
          <w:cantSplit/>
          <w:jc w:val="center"/>
        </w:trPr>
        <w:tc>
          <w:tcPr>
            <w:tcW w:w="1079" w:type="dxa"/>
            <w:vAlign w:val="center"/>
          </w:tcPr>
          <w:p w:rsidR="0023354C" w:rsidRPr="00CB065F" w:rsidRDefault="00CD4659" w:rsidP="003D242C">
            <w:pPr>
              <w:jc w:val="center"/>
              <w:rPr>
                <w:rFonts w:ascii="Verdana" w:hAnsi="Verdana" w:cs="Arial"/>
                <w:b/>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51" w:type="dxa"/>
            <w:tcMar>
              <w:top w:w="14" w:type="dxa"/>
              <w:left w:w="58" w:type="dxa"/>
              <w:bottom w:w="14" w:type="dxa"/>
              <w:right w:w="58" w:type="dxa"/>
            </w:tcMar>
            <w:vAlign w:val="center"/>
          </w:tcPr>
          <w:p w:rsidR="0023354C" w:rsidRPr="008F7828" w:rsidRDefault="0023354C" w:rsidP="00100911">
            <w:pPr>
              <w:rPr>
                <w:rFonts w:ascii="Arial" w:hAnsi="Arial" w:cs="Arial"/>
                <w:sz w:val="18"/>
                <w:szCs w:val="18"/>
              </w:rPr>
            </w:pPr>
            <w:r w:rsidRPr="008F7828">
              <w:rPr>
                <w:rFonts w:ascii="Arial" w:hAnsi="Arial" w:cs="Arial"/>
                <w:sz w:val="18"/>
                <w:szCs w:val="18"/>
              </w:rPr>
              <w:t>A202(A)(8)(b)(ii) - The location of any perennial, intermittent, or ephemeral surface water bodies;</w:t>
            </w:r>
          </w:p>
        </w:tc>
      </w:tr>
      <w:tr w:rsidR="0023354C" w:rsidTr="00CB065F">
        <w:trPr>
          <w:cantSplit/>
          <w:jc w:val="center"/>
        </w:trPr>
        <w:tc>
          <w:tcPr>
            <w:tcW w:w="1079" w:type="dxa"/>
            <w:vAlign w:val="center"/>
          </w:tcPr>
          <w:p w:rsidR="0023354C" w:rsidRPr="00CB065F" w:rsidRDefault="007F104F" w:rsidP="003D2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sz w:val="18"/>
                <w:szCs w:val="18"/>
              </w:rPr>
              <w:t>C</w:t>
            </w:r>
            <w:r w:rsidR="0023354C" w:rsidRPr="00CB065F">
              <w:rPr>
                <w:rFonts w:ascii="Verdana" w:hAnsi="Verdana" w:cs="Arial"/>
                <w:sz w:val="18"/>
                <w:szCs w:val="18"/>
              </w:rPr>
              <w:t>omment</w:t>
            </w:r>
          </w:p>
        </w:tc>
        <w:tc>
          <w:tcPr>
            <w:tcW w:w="9851" w:type="dxa"/>
            <w:tcMar>
              <w:top w:w="14" w:type="dxa"/>
              <w:left w:w="58" w:type="dxa"/>
              <w:bottom w:w="14" w:type="dxa"/>
              <w:right w:w="58" w:type="dxa"/>
            </w:tcMar>
            <w:vAlign w:val="center"/>
          </w:tcPr>
          <w:p w:rsidR="0023354C" w:rsidRPr="008F7828" w:rsidRDefault="0023354C" w:rsidP="00CB06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Arial" w:hAnsi="Arial" w:cs="Arial"/>
                <w:bCs/>
                <w:color w:val="0000FF"/>
                <w:sz w:val="18"/>
                <w:szCs w:val="18"/>
              </w:rPr>
            </w:pPr>
            <w:r w:rsidRPr="008F7828">
              <w:rPr>
                <w:rFonts w:ascii="Arial" w:hAnsi="Arial" w:cs="Arial"/>
                <w:bCs/>
                <w:color w:val="0000FF"/>
                <w:sz w:val="18"/>
                <w:szCs w:val="18"/>
              </w:rPr>
              <w:fldChar w:fldCharType="begin">
                <w:ffData>
                  <w:name w:val="Text3"/>
                  <w:enabled/>
                  <w:calcOnExit w:val="0"/>
                  <w:textInput/>
                </w:ffData>
              </w:fldChar>
            </w:r>
            <w:r w:rsidRPr="008F7828">
              <w:rPr>
                <w:rFonts w:ascii="Arial" w:hAnsi="Arial" w:cs="Arial"/>
                <w:bCs/>
                <w:color w:val="0000FF"/>
                <w:sz w:val="18"/>
                <w:szCs w:val="18"/>
              </w:rPr>
              <w:instrText xml:space="preserve"> FORMTEXT </w:instrText>
            </w:r>
            <w:r w:rsidRPr="008F7828">
              <w:rPr>
                <w:rFonts w:ascii="Arial" w:hAnsi="Arial" w:cs="Arial"/>
                <w:bCs/>
                <w:color w:val="0000FF"/>
                <w:sz w:val="18"/>
                <w:szCs w:val="18"/>
              </w:rPr>
            </w:r>
            <w:r w:rsidRPr="008F7828">
              <w:rPr>
                <w:rFonts w:ascii="Arial" w:hAnsi="Arial" w:cs="Arial"/>
                <w:bCs/>
                <w:color w:val="0000FF"/>
                <w:sz w:val="18"/>
                <w:szCs w:val="18"/>
              </w:rPr>
              <w:fldChar w:fldCharType="separate"/>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hAnsi="Arial" w:cs="Arial"/>
                <w:bCs/>
                <w:color w:val="0000FF"/>
                <w:sz w:val="18"/>
                <w:szCs w:val="18"/>
              </w:rPr>
              <w:fldChar w:fldCharType="end"/>
            </w:r>
          </w:p>
        </w:tc>
      </w:tr>
      <w:tr w:rsidR="0023354C" w:rsidTr="00CB065F">
        <w:trPr>
          <w:cantSplit/>
          <w:jc w:val="center"/>
        </w:trPr>
        <w:tc>
          <w:tcPr>
            <w:tcW w:w="1079" w:type="dxa"/>
            <w:vAlign w:val="center"/>
          </w:tcPr>
          <w:p w:rsidR="0023354C" w:rsidRPr="00CB065F" w:rsidRDefault="00CD4659" w:rsidP="00952095">
            <w:pPr>
              <w:jc w:val="center"/>
              <w:rPr>
                <w:rFonts w:ascii="Verdana" w:hAnsi="Verdana" w:cs="Arial"/>
                <w:b/>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51" w:type="dxa"/>
            <w:tcMar>
              <w:top w:w="14" w:type="dxa"/>
              <w:left w:w="58" w:type="dxa"/>
              <w:bottom w:w="14" w:type="dxa"/>
              <w:right w:w="58" w:type="dxa"/>
            </w:tcMar>
            <w:vAlign w:val="center"/>
          </w:tcPr>
          <w:p w:rsidR="0023354C" w:rsidRPr="008F7828" w:rsidRDefault="0023354C" w:rsidP="00952095">
            <w:pPr>
              <w:rPr>
                <w:rFonts w:ascii="Arial" w:hAnsi="Arial" w:cs="Arial"/>
                <w:sz w:val="18"/>
                <w:szCs w:val="18"/>
              </w:rPr>
            </w:pPr>
            <w:r w:rsidRPr="008F7828">
              <w:rPr>
                <w:rFonts w:ascii="Arial" w:hAnsi="Arial" w:cs="Arial"/>
                <w:sz w:val="18"/>
                <w:szCs w:val="18"/>
              </w:rPr>
              <w:t>A202(A)(8)(b)(iii) - The characteristics of the aquifer and geologic units with limited permeability, including depth, hydraulic conductivity, and transmissivity;</w:t>
            </w:r>
          </w:p>
        </w:tc>
      </w:tr>
      <w:tr w:rsidR="0023354C" w:rsidTr="00CB065F">
        <w:trPr>
          <w:cantSplit/>
          <w:jc w:val="center"/>
        </w:trPr>
        <w:tc>
          <w:tcPr>
            <w:tcW w:w="1079" w:type="dxa"/>
            <w:vAlign w:val="center"/>
          </w:tcPr>
          <w:p w:rsidR="0023354C" w:rsidRPr="00CB065F" w:rsidRDefault="007F104F" w:rsidP="0095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sz w:val="18"/>
                <w:szCs w:val="18"/>
              </w:rPr>
              <w:t>C</w:t>
            </w:r>
            <w:r w:rsidR="0023354C" w:rsidRPr="00CB065F">
              <w:rPr>
                <w:rFonts w:ascii="Verdana" w:hAnsi="Verdana" w:cs="Arial"/>
                <w:sz w:val="18"/>
                <w:szCs w:val="18"/>
              </w:rPr>
              <w:t>omment</w:t>
            </w:r>
          </w:p>
        </w:tc>
        <w:tc>
          <w:tcPr>
            <w:tcW w:w="9851" w:type="dxa"/>
            <w:tcMar>
              <w:top w:w="14" w:type="dxa"/>
              <w:left w:w="58" w:type="dxa"/>
              <w:bottom w:w="14" w:type="dxa"/>
              <w:right w:w="58" w:type="dxa"/>
            </w:tcMar>
            <w:vAlign w:val="center"/>
          </w:tcPr>
          <w:p w:rsidR="0023354C" w:rsidRPr="008F7828" w:rsidRDefault="0023354C" w:rsidP="0095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Arial" w:hAnsi="Arial" w:cs="Arial"/>
                <w:color w:val="0000FF"/>
                <w:sz w:val="18"/>
                <w:szCs w:val="18"/>
              </w:rPr>
            </w:pPr>
            <w:r w:rsidRPr="008F7828">
              <w:rPr>
                <w:rFonts w:ascii="Arial" w:hAnsi="Arial" w:cs="Arial"/>
                <w:bCs/>
                <w:color w:val="0000FF"/>
                <w:sz w:val="18"/>
                <w:szCs w:val="18"/>
              </w:rPr>
              <w:fldChar w:fldCharType="begin">
                <w:ffData>
                  <w:name w:val="Text3"/>
                  <w:enabled/>
                  <w:calcOnExit w:val="0"/>
                  <w:textInput/>
                </w:ffData>
              </w:fldChar>
            </w:r>
            <w:r w:rsidRPr="008F7828">
              <w:rPr>
                <w:rFonts w:ascii="Arial" w:hAnsi="Arial" w:cs="Arial"/>
                <w:bCs/>
                <w:color w:val="0000FF"/>
                <w:sz w:val="18"/>
                <w:szCs w:val="18"/>
              </w:rPr>
              <w:instrText xml:space="preserve"> FORMTEXT </w:instrText>
            </w:r>
            <w:r w:rsidRPr="008F7828">
              <w:rPr>
                <w:rFonts w:ascii="Arial" w:hAnsi="Arial" w:cs="Arial"/>
                <w:bCs/>
                <w:color w:val="0000FF"/>
                <w:sz w:val="18"/>
                <w:szCs w:val="18"/>
              </w:rPr>
            </w:r>
            <w:r w:rsidRPr="008F7828">
              <w:rPr>
                <w:rFonts w:ascii="Arial" w:hAnsi="Arial" w:cs="Arial"/>
                <w:bCs/>
                <w:color w:val="0000FF"/>
                <w:sz w:val="18"/>
                <w:szCs w:val="18"/>
              </w:rPr>
              <w:fldChar w:fldCharType="separate"/>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hAnsi="Arial" w:cs="Arial"/>
                <w:bCs/>
                <w:color w:val="0000FF"/>
                <w:sz w:val="18"/>
                <w:szCs w:val="18"/>
              </w:rPr>
              <w:fldChar w:fldCharType="end"/>
            </w:r>
          </w:p>
        </w:tc>
      </w:tr>
      <w:tr w:rsidR="0023354C" w:rsidTr="00CB065F">
        <w:trPr>
          <w:cantSplit/>
          <w:jc w:val="center"/>
        </w:trPr>
        <w:tc>
          <w:tcPr>
            <w:tcW w:w="1079" w:type="dxa"/>
            <w:vAlign w:val="center"/>
          </w:tcPr>
          <w:p w:rsidR="0023354C" w:rsidRPr="00CB065F" w:rsidRDefault="00CD4659" w:rsidP="00952095">
            <w:pPr>
              <w:jc w:val="center"/>
              <w:rPr>
                <w:rFonts w:ascii="Verdana" w:hAnsi="Verdana" w:cs="Arial"/>
                <w:b/>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51" w:type="dxa"/>
            <w:tcMar>
              <w:top w:w="14" w:type="dxa"/>
              <w:left w:w="58" w:type="dxa"/>
              <w:bottom w:w="14" w:type="dxa"/>
              <w:right w:w="58" w:type="dxa"/>
            </w:tcMar>
            <w:vAlign w:val="center"/>
          </w:tcPr>
          <w:p w:rsidR="0023354C" w:rsidRPr="008F7828" w:rsidRDefault="0023354C" w:rsidP="009021BA">
            <w:pPr>
              <w:rPr>
                <w:rFonts w:ascii="Arial" w:hAnsi="Arial" w:cs="Arial"/>
                <w:sz w:val="18"/>
                <w:szCs w:val="18"/>
              </w:rPr>
            </w:pPr>
            <w:r w:rsidRPr="008F7828">
              <w:rPr>
                <w:rFonts w:ascii="Arial" w:hAnsi="Arial" w:cs="Arial"/>
                <w:sz w:val="18"/>
                <w:szCs w:val="18"/>
              </w:rPr>
              <w:t>A202(A)(8)(b)(iv) - The rate, volume, and direction of surface water and groundwater flow, including hydrographs, if available, and equipotential maps;</w:t>
            </w:r>
          </w:p>
        </w:tc>
      </w:tr>
      <w:tr w:rsidR="0023354C" w:rsidTr="00CB065F">
        <w:trPr>
          <w:cantSplit/>
          <w:jc w:val="center"/>
        </w:trPr>
        <w:tc>
          <w:tcPr>
            <w:tcW w:w="1079" w:type="dxa"/>
            <w:vAlign w:val="center"/>
          </w:tcPr>
          <w:p w:rsidR="0023354C" w:rsidRPr="00CB065F" w:rsidRDefault="007F104F" w:rsidP="0095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sz w:val="18"/>
                <w:szCs w:val="18"/>
              </w:rPr>
              <w:t>C</w:t>
            </w:r>
            <w:r w:rsidR="0023354C" w:rsidRPr="00CB065F">
              <w:rPr>
                <w:rFonts w:ascii="Verdana" w:hAnsi="Verdana" w:cs="Arial"/>
                <w:sz w:val="18"/>
                <w:szCs w:val="18"/>
              </w:rPr>
              <w:t>omment</w:t>
            </w:r>
          </w:p>
        </w:tc>
        <w:tc>
          <w:tcPr>
            <w:tcW w:w="9851" w:type="dxa"/>
            <w:tcMar>
              <w:top w:w="14" w:type="dxa"/>
              <w:left w:w="58" w:type="dxa"/>
              <w:bottom w:w="14" w:type="dxa"/>
              <w:right w:w="58" w:type="dxa"/>
            </w:tcMar>
            <w:vAlign w:val="center"/>
          </w:tcPr>
          <w:p w:rsidR="0023354C" w:rsidRPr="008F7828" w:rsidRDefault="0023354C" w:rsidP="0095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Arial" w:hAnsi="Arial" w:cs="Arial"/>
                <w:color w:val="0000FF"/>
                <w:sz w:val="18"/>
                <w:szCs w:val="18"/>
              </w:rPr>
            </w:pPr>
            <w:r w:rsidRPr="008F7828">
              <w:rPr>
                <w:rFonts w:ascii="Arial" w:hAnsi="Arial" w:cs="Arial"/>
                <w:bCs/>
                <w:color w:val="0000FF"/>
                <w:sz w:val="18"/>
                <w:szCs w:val="18"/>
              </w:rPr>
              <w:fldChar w:fldCharType="begin">
                <w:ffData>
                  <w:name w:val="Text3"/>
                  <w:enabled/>
                  <w:calcOnExit w:val="0"/>
                  <w:textInput/>
                </w:ffData>
              </w:fldChar>
            </w:r>
            <w:r w:rsidRPr="008F7828">
              <w:rPr>
                <w:rFonts w:ascii="Arial" w:hAnsi="Arial" w:cs="Arial"/>
                <w:bCs/>
                <w:color w:val="0000FF"/>
                <w:sz w:val="18"/>
                <w:szCs w:val="18"/>
              </w:rPr>
              <w:instrText xml:space="preserve"> FORMTEXT </w:instrText>
            </w:r>
            <w:r w:rsidRPr="008F7828">
              <w:rPr>
                <w:rFonts w:ascii="Arial" w:hAnsi="Arial" w:cs="Arial"/>
                <w:bCs/>
                <w:color w:val="0000FF"/>
                <w:sz w:val="18"/>
                <w:szCs w:val="18"/>
              </w:rPr>
            </w:r>
            <w:r w:rsidRPr="008F7828">
              <w:rPr>
                <w:rFonts w:ascii="Arial" w:hAnsi="Arial" w:cs="Arial"/>
                <w:bCs/>
                <w:color w:val="0000FF"/>
                <w:sz w:val="18"/>
                <w:szCs w:val="18"/>
              </w:rPr>
              <w:fldChar w:fldCharType="separate"/>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hAnsi="Arial" w:cs="Arial"/>
                <w:bCs/>
                <w:color w:val="0000FF"/>
                <w:sz w:val="18"/>
                <w:szCs w:val="18"/>
              </w:rPr>
              <w:fldChar w:fldCharType="end"/>
            </w:r>
          </w:p>
        </w:tc>
      </w:tr>
      <w:tr w:rsidR="0023354C" w:rsidTr="00CB065F">
        <w:trPr>
          <w:cantSplit/>
          <w:jc w:val="center"/>
        </w:trPr>
        <w:tc>
          <w:tcPr>
            <w:tcW w:w="1079" w:type="dxa"/>
            <w:vAlign w:val="center"/>
          </w:tcPr>
          <w:p w:rsidR="0023354C" w:rsidRPr="00CB065F" w:rsidRDefault="00CD4659" w:rsidP="00B272BC">
            <w:pPr>
              <w:jc w:val="center"/>
              <w:rPr>
                <w:rFonts w:ascii="Verdana" w:hAnsi="Verdana" w:cs="Arial"/>
                <w:b/>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51" w:type="dxa"/>
            <w:tcMar>
              <w:top w:w="14" w:type="dxa"/>
              <w:left w:w="58" w:type="dxa"/>
              <w:bottom w:w="14" w:type="dxa"/>
              <w:right w:w="58" w:type="dxa"/>
            </w:tcMar>
            <w:vAlign w:val="center"/>
          </w:tcPr>
          <w:p w:rsidR="0023354C" w:rsidRPr="008F7828" w:rsidRDefault="0023354C" w:rsidP="00100911">
            <w:pPr>
              <w:rPr>
                <w:rFonts w:ascii="Arial" w:hAnsi="Arial" w:cs="Arial"/>
                <w:sz w:val="18"/>
                <w:szCs w:val="18"/>
              </w:rPr>
            </w:pPr>
            <w:r w:rsidRPr="008F7828">
              <w:rPr>
                <w:rFonts w:ascii="Arial" w:hAnsi="Arial" w:cs="Arial"/>
                <w:sz w:val="18"/>
                <w:szCs w:val="18"/>
              </w:rPr>
              <w:t>A202(A)(8)(b)(v) - The precise location or estimate of the location of the 100-year flood plain and an assessment or the 100-year flood surface flow and potential impacts on the facility;</w:t>
            </w:r>
          </w:p>
        </w:tc>
      </w:tr>
      <w:tr w:rsidR="0023354C" w:rsidTr="00CB065F">
        <w:trPr>
          <w:cantSplit/>
          <w:jc w:val="center"/>
        </w:trPr>
        <w:tc>
          <w:tcPr>
            <w:tcW w:w="1079" w:type="dxa"/>
            <w:vAlign w:val="center"/>
          </w:tcPr>
          <w:p w:rsidR="0023354C" w:rsidRPr="00CB065F" w:rsidRDefault="007F104F"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sz w:val="18"/>
                <w:szCs w:val="18"/>
              </w:rPr>
              <w:t>C</w:t>
            </w:r>
            <w:r w:rsidR="0023354C" w:rsidRPr="00CB065F">
              <w:rPr>
                <w:rFonts w:ascii="Verdana" w:hAnsi="Verdana" w:cs="Arial"/>
                <w:sz w:val="18"/>
                <w:szCs w:val="18"/>
              </w:rPr>
              <w:t>omment</w:t>
            </w:r>
          </w:p>
        </w:tc>
        <w:tc>
          <w:tcPr>
            <w:tcW w:w="9851" w:type="dxa"/>
            <w:tcMar>
              <w:top w:w="14" w:type="dxa"/>
              <w:left w:w="58" w:type="dxa"/>
              <w:bottom w:w="14" w:type="dxa"/>
              <w:right w:w="58" w:type="dxa"/>
            </w:tcMar>
            <w:vAlign w:val="center"/>
          </w:tcPr>
          <w:p w:rsidR="0023354C" w:rsidRPr="008F7828" w:rsidRDefault="0023354C"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Arial" w:hAnsi="Arial" w:cs="Arial"/>
                <w:color w:val="0000FF"/>
                <w:sz w:val="18"/>
                <w:szCs w:val="18"/>
              </w:rPr>
            </w:pPr>
            <w:r w:rsidRPr="008F7828">
              <w:rPr>
                <w:rFonts w:ascii="Arial" w:hAnsi="Arial" w:cs="Arial"/>
                <w:bCs/>
                <w:color w:val="0000FF"/>
                <w:sz w:val="18"/>
                <w:szCs w:val="18"/>
              </w:rPr>
              <w:fldChar w:fldCharType="begin">
                <w:ffData>
                  <w:name w:val="Text3"/>
                  <w:enabled/>
                  <w:calcOnExit w:val="0"/>
                  <w:textInput/>
                </w:ffData>
              </w:fldChar>
            </w:r>
            <w:r w:rsidRPr="008F7828">
              <w:rPr>
                <w:rFonts w:ascii="Arial" w:hAnsi="Arial" w:cs="Arial"/>
                <w:bCs/>
                <w:color w:val="0000FF"/>
                <w:sz w:val="18"/>
                <w:szCs w:val="18"/>
              </w:rPr>
              <w:instrText xml:space="preserve"> FORMTEXT </w:instrText>
            </w:r>
            <w:r w:rsidRPr="008F7828">
              <w:rPr>
                <w:rFonts w:ascii="Arial" w:hAnsi="Arial" w:cs="Arial"/>
                <w:bCs/>
                <w:color w:val="0000FF"/>
                <w:sz w:val="18"/>
                <w:szCs w:val="18"/>
              </w:rPr>
            </w:r>
            <w:r w:rsidRPr="008F7828">
              <w:rPr>
                <w:rFonts w:ascii="Arial" w:hAnsi="Arial" w:cs="Arial"/>
                <w:bCs/>
                <w:color w:val="0000FF"/>
                <w:sz w:val="18"/>
                <w:szCs w:val="18"/>
              </w:rPr>
              <w:fldChar w:fldCharType="separate"/>
            </w:r>
            <w:r w:rsidRPr="008F7828">
              <w:rPr>
                <w:rFonts w:ascii="Arial" w:hAnsi="Arial" w:cs="Arial"/>
                <w:bCs/>
                <w:noProof/>
                <w:color w:val="0000FF"/>
                <w:sz w:val="18"/>
                <w:szCs w:val="18"/>
              </w:rPr>
              <w:t> </w:t>
            </w:r>
            <w:r w:rsidRPr="008F7828">
              <w:rPr>
                <w:rFonts w:ascii="Arial" w:hAnsi="Arial" w:cs="Arial"/>
                <w:bCs/>
                <w:noProof/>
                <w:color w:val="0000FF"/>
                <w:sz w:val="18"/>
                <w:szCs w:val="18"/>
              </w:rPr>
              <w:t> </w:t>
            </w:r>
            <w:r w:rsidRPr="008F7828">
              <w:rPr>
                <w:rFonts w:ascii="Arial" w:hAnsi="Arial" w:cs="Arial"/>
                <w:bCs/>
                <w:noProof/>
                <w:color w:val="0000FF"/>
                <w:sz w:val="18"/>
                <w:szCs w:val="18"/>
              </w:rPr>
              <w:t> </w:t>
            </w:r>
            <w:r w:rsidRPr="008F7828">
              <w:rPr>
                <w:rFonts w:ascii="Arial" w:hAnsi="Arial" w:cs="Arial"/>
                <w:bCs/>
                <w:noProof/>
                <w:color w:val="0000FF"/>
                <w:sz w:val="18"/>
                <w:szCs w:val="18"/>
              </w:rPr>
              <w:t> </w:t>
            </w:r>
            <w:r w:rsidRPr="008F7828">
              <w:rPr>
                <w:rFonts w:ascii="Arial" w:hAnsi="Arial" w:cs="Arial"/>
                <w:bCs/>
                <w:noProof/>
                <w:color w:val="0000FF"/>
                <w:sz w:val="18"/>
                <w:szCs w:val="18"/>
              </w:rPr>
              <w:t> </w:t>
            </w:r>
            <w:r w:rsidRPr="008F7828">
              <w:rPr>
                <w:rFonts w:ascii="Arial" w:hAnsi="Arial" w:cs="Arial"/>
                <w:bCs/>
                <w:color w:val="0000FF"/>
                <w:sz w:val="18"/>
                <w:szCs w:val="18"/>
              </w:rPr>
              <w:fldChar w:fldCharType="end"/>
            </w:r>
          </w:p>
        </w:tc>
      </w:tr>
      <w:tr w:rsidR="0023354C" w:rsidTr="00CB065F">
        <w:trPr>
          <w:cantSplit/>
          <w:jc w:val="center"/>
        </w:trPr>
        <w:tc>
          <w:tcPr>
            <w:tcW w:w="1079" w:type="dxa"/>
            <w:vAlign w:val="center"/>
          </w:tcPr>
          <w:p w:rsidR="0023354C" w:rsidRPr="00CB065F" w:rsidRDefault="00CD4659" w:rsidP="00B272BC">
            <w:pPr>
              <w:jc w:val="center"/>
              <w:rPr>
                <w:rFonts w:ascii="Verdana" w:hAnsi="Verdana" w:cs="Arial"/>
                <w:b/>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51" w:type="dxa"/>
            <w:tcMar>
              <w:top w:w="14" w:type="dxa"/>
              <w:left w:w="58" w:type="dxa"/>
              <w:bottom w:w="14" w:type="dxa"/>
              <w:right w:w="58" w:type="dxa"/>
            </w:tcMar>
            <w:vAlign w:val="center"/>
          </w:tcPr>
          <w:p w:rsidR="0023354C" w:rsidRPr="008F7828" w:rsidRDefault="0023354C"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8F7828">
              <w:rPr>
                <w:rFonts w:ascii="Arial" w:hAnsi="Arial" w:cs="Arial"/>
                <w:sz w:val="18"/>
                <w:szCs w:val="18"/>
              </w:rPr>
              <w:t>A202(A)(8)(b)(vi) - Documentation of the existing quality of the water in the aquifers underlying the site, including, where available, the method of analysis, quality assurance, and quality control procedures associated with the documentation;</w:t>
            </w:r>
          </w:p>
        </w:tc>
      </w:tr>
      <w:tr w:rsidR="0023354C" w:rsidTr="00CB065F">
        <w:trPr>
          <w:cantSplit/>
          <w:jc w:val="center"/>
        </w:trPr>
        <w:tc>
          <w:tcPr>
            <w:tcW w:w="1079" w:type="dxa"/>
            <w:vAlign w:val="center"/>
          </w:tcPr>
          <w:p w:rsidR="0023354C" w:rsidRPr="00CB065F" w:rsidRDefault="007F104F"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sz w:val="18"/>
                <w:szCs w:val="18"/>
              </w:rPr>
              <w:t>C</w:t>
            </w:r>
            <w:r w:rsidR="0023354C" w:rsidRPr="00CB065F">
              <w:rPr>
                <w:rFonts w:ascii="Verdana" w:hAnsi="Verdana" w:cs="Arial"/>
                <w:sz w:val="18"/>
                <w:szCs w:val="18"/>
              </w:rPr>
              <w:t>omment</w:t>
            </w:r>
          </w:p>
        </w:tc>
        <w:tc>
          <w:tcPr>
            <w:tcW w:w="9851" w:type="dxa"/>
            <w:tcMar>
              <w:top w:w="14" w:type="dxa"/>
              <w:left w:w="58" w:type="dxa"/>
              <w:bottom w:w="14" w:type="dxa"/>
              <w:right w:w="58" w:type="dxa"/>
            </w:tcMar>
            <w:vAlign w:val="center"/>
          </w:tcPr>
          <w:p w:rsidR="0023354C" w:rsidRPr="008F7828" w:rsidRDefault="0023354C"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Arial" w:hAnsi="Arial" w:cs="Arial"/>
                <w:color w:val="0000FF"/>
                <w:sz w:val="18"/>
                <w:szCs w:val="18"/>
              </w:rPr>
            </w:pPr>
            <w:r w:rsidRPr="008F7828">
              <w:rPr>
                <w:rFonts w:ascii="Arial" w:hAnsi="Arial" w:cs="Arial"/>
                <w:bCs/>
                <w:color w:val="0000FF"/>
                <w:sz w:val="18"/>
                <w:szCs w:val="18"/>
              </w:rPr>
              <w:fldChar w:fldCharType="begin">
                <w:ffData>
                  <w:name w:val=""/>
                  <w:enabled/>
                  <w:calcOnExit w:val="0"/>
                  <w:textInput/>
                </w:ffData>
              </w:fldChar>
            </w:r>
            <w:r w:rsidRPr="008F7828">
              <w:rPr>
                <w:rFonts w:ascii="Arial" w:hAnsi="Arial" w:cs="Arial"/>
                <w:bCs/>
                <w:color w:val="0000FF"/>
                <w:sz w:val="18"/>
                <w:szCs w:val="18"/>
              </w:rPr>
              <w:instrText xml:space="preserve"> FORMTEXT </w:instrText>
            </w:r>
            <w:r w:rsidRPr="008F7828">
              <w:rPr>
                <w:rFonts w:ascii="Arial" w:hAnsi="Arial" w:cs="Arial"/>
                <w:bCs/>
                <w:color w:val="0000FF"/>
                <w:sz w:val="18"/>
                <w:szCs w:val="18"/>
              </w:rPr>
            </w:r>
            <w:r w:rsidRPr="008F7828">
              <w:rPr>
                <w:rFonts w:ascii="Arial" w:hAnsi="Arial" w:cs="Arial"/>
                <w:bCs/>
                <w:color w:val="0000FF"/>
                <w:sz w:val="18"/>
                <w:szCs w:val="18"/>
              </w:rPr>
              <w:fldChar w:fldCharType="separate"/>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hAnsi="Arial" w:cs="Arial"/>
                <w:bCs/>
                <w:color w:val="0000FF"/>
                <w:sz w:val="18"/>
                <w:szCs w:val="18"/>
              </w:rPr>
              <w:fldChar w:fldCharType="end"/>
            </w:r>
          </w:p>
        </w:tc>
      </w:tr>
      <w:tr w:rsidR="0023354C" w:rsidTr="00CB065F">
        <w:trPr>
          <w:cantSplit/>
          <w:jc w:val="center"/>
        </w:trPr>
        <w:tc>
          <w:tcPr>
            <w:tcW w:w="1079" w:type="dxa"/>
            <w:vAlign w:val="center"/>
          </w:tcPr>
          <w:p w:rsidR="0023354C" w:rsidRPr="00CB065F" w:rsidRDefault="00CD4659" w:rsidP="00B272BC">
            <w:pPr>
              <w:jc w:val="center"/>
              <w:rPr>
                <w:rFonts w:ascii="Verdana" w:hAnsi="Verdana" w:cs="Arial"/>
                <w:b/>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51" w:type="dxa"/>
            <w:tcMar>
              <w:top w:w="14" w:type="dxa"/>
              <w:left w:w="58" w:type="dxa"/>
              <w:bottom w:w="14" w:type="dxa"/>
              <w:right w:w="58" w:type="dxa"/>
            </w:tcMar>
            <w:vAlign w:val="center"/>
          </w:tcPr>
          <w:p w:rsidR="0023354C" w:rsidRPr="008F7828" w:rsidRDefault="0023354C" w:rsidP="00B272BC">
            <w:pPr>
              <w:rPr>
                <w:rFonts w:ascii="Arial" w:hAnsi="Arial" w:cs="Arial"/>
                <w:sz w:val="18"/>
                <w:szCs w:val="18"/>
              </w:rPr>
            </w:pPr>
            <w:r w:rsidRPr="008F7828">
              <w:rPr>
                <w:rFonts w:ascii="Arial" w:hAnsi="Arial" w:cs="Arial"/>
                <w:sz w:val="18"/>
                <w:szCs w:val="18"/>
              </w:rPr>
              <w:t>A202(A)(8)(b)(vii) - Documentation of the extent and degree of any known soil contamination at the site;</w:t>
            </w:r>
          </w:p>
        </w:tc>
      </w:tr>
      <w:tr w:rsidR="0023354C" w:rsidTr="00CB065F">
        <w:trPr>
          <w:cantSplit/>
          <w:jc w:val="center"/>
        </w:trPr>
        <w:tc>
          <w:tcPr>
            <w:tcW w:w="1079" w:type="dxa"/>
            <w:vAlign w:val="center"/>
          </w:tcPr>
          <w:p w:rsidR="0023354C" w:rsidRPr="00CB065F" w:rsidRDefault="007F104F"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sz w:val="18"/>
                <w:szCs w:val="18"/>
              </w:rPr>
              <w:t>C</w:t>
            </w:r>
            <w:r w:rsidR="0023354C" w:rsidRPr="00CB065F">
              <w:rPr>
                <w:rFonts w:ascii="Verdana" w:hAnsi="Verdana" w:cs="Arial"/>
                <w:sz w:val="18"/>
                <w:szCs w:val="18"/>
              </w:rPr>
              <w:t>omment</w:t>
            </w:r>
          </w:p>
        </w:tc>
        <w:tc>
          <w:tcPr>
            <w:tcW w:w="9851" w:type="dxa"/>
            <w:tcMar>
              <w:top w:w="14" w:type="dxa"/>
              <w:left w:w="58" w:type="dxa"/>
              <w:bottom w:w="14" w:type="dxa"/>
              <w:right w:w="58" w:type="dxa"/>
            </w:tcMar>
            <w:vAlign w:val="center"/>
          </w:tcPr>
          <w:p w:rsidR="0023354C" w:rsidRPr="008F7828" w:rsidRDefault="0023354C"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Arial" w:hAnsi="Arial" w:cs="Arial"/>
                <w:bCs/>
                <w:color w:val="0000FF"/>
                <w:sz w:val="18"/>
                <w:szCs w:val="18"/>
              </w:rPr>
            </w:pPr>
            <w:r w:rsidRPr="008F7828">
              <w:rPr>
                <w:rFonts w:ascii="Arial" w:hAnsi="Arial" w:cs="Arial"/>
                <w:bCs/>
                <w:color w:val="0000FF"/>
                <w:sz w:val="18"/>
                <w:szCs w:val="18"/>
              </w:rPr>
              <w:fldChar w:fldCharType="begin">
                <w:ffData>
                  <w:name w:val="Text3"/>
                  <w:enabled/>
                  <w:calcOnExit w:val="0"/>
                  <w:textInput/>
                </w:ffData>
              </w:fldChar>
            </w:r>
            <w:r w:rsidRPr="008F7828">
              <w:rPr>
                <w:rFonts w:ascii="Arial" w:hAnsi="Arial" w:cs="Arial"/>
                <w:bCs/>
                <w:color w:val="0000FF"/>
                <w:sz w:val="18"/>
                <w:szCs w:val="18"/>
              </w:rPr>
              <w:instrText xml:space="preserve"> FORMTEXT </w:instrText>
            </w:r>
            <w:r w:rsidRPr="008F7828">
              <w:rPr>
                <w:rFonts w:ascii="Arial" w:hAnsi="Arial" w:cs="Arial"/>
                <w:bCs/>
                <w:color w:val="0000FF"/>
                <w:sz w:val="18"/>
                <w:szCs w:val="18"/>
              </w:rPr>
            </w:r>
            <w:r w:rsidRPr="008F7828">
              <w:rPr>
                <w:rFonts w:ascii="Arial" w:hAnsi="Arial" w:cs="Arial"/>
                <w:bCs/>
                <w:color w:val="0000FF"/>
                <w:sz w:val="18"/>
                <w:szCs w:val="18"/>
              </w:rPr>
              <w:fldChar w:fldCharType="separate"/>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hAnsi="Arial" w:cs="Arial"/>
                <w:bCs/>
                <w:color w:val="0000FF"/>
                <w:sz w:val="18"/>
                <w:szCs w:val="18"/>
              </w:rPr>
              <w:fldChar w:fldCharType="end"/>
            </w:r>
          </w:p>
        </w:tc>
      </w:tr>
      <w:tr w:rsidR="0023354C" w:rsidTr="00CB065F">
        <w:trPr>
          <w:cantSplit/>
          <w:jc w:val="center"/>
        </w:trPr>
        <w:tc>
          <w:tcPr>
            <w:tcW w:w="1079" w:type="dxa"/>
            <w:vAlign w:val="center"/>
          </w:tcPr>
          <w:p w:rsidR="0023354C" w:rsidRPr="00CB065F" w:rsidRDefault="00CD4659" w:rsidP="00B272BC">
            <w:pPr>
              <w:jc w:val="center"/>
              <w:rPr>
                <w:rFonts w:ascii="Verdana" w:hAnsi="Verdana" w:cs="Arial"/>
                <w:b/>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51" w:type="dxa"/>
            <w:tcMar>
              <w:top w:w="14" w:type="dxa"/>
              <w:left w:w="58" w:type="dxa"/>
              <w:bottom w:w="14" w:type="dxa"/>
              <w:right w:w="58" w:type="dxa"/>
            </w:tcMar>
            <w:vAlign w:val="center"/>
          </w:tcPr>
          <w:p w:rsidR="0023354C" w:rsidRPr="008F7828" w:rsidRDefault="0023354C" w:rsidP="00B272BC">
            <w:pPr>
              <w:rPr>
                <w:rFonts w:ascii="Arial" w:hAnsi="Arial" w:cs="Arial"/>
                <w:sz w:val="18"/>
                <w:szCs w:val="18"/>
              </w:rPr>
            </w:pPr>
            <w:r w:rsidRPr="008F7828">
              <w:rPr>
                <w:rFonts w:ascii="Arial" w:hAnsi="Arial" w:cs="Arial"/>
                <w:sz w:val="18"/>
                <w:szCs w:val="18"/>
              </w:rPr>
              <w:t>A202(A)(8)(b)(viii) - An assessment of the potential of the discharge to cause the leaching of pollutants from surface soils or vadose zone materials;</w:t>
            </w:r>
          </w:p>
        </w:tc>
      </w:tr>
      <w:tr w:rsidR="0023354C" w:rsidTr="00CB065F">
        <w:trPr>
          <w:cantSplit/>
          <w:jc w:val="center"/>
        </w:trPr>
        <w:tc>
          <w:tcPr>
            <w:tcW w:w="1079" w:type="dxa"/>
            <w:vAlign w:val="center"/>
          </w:tcPr>
          <w:p w:rsidR="0023354C" w:rsidRPr="00CB065F" w:rsidRDefault="007F104F"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sz w:val="18"/>
                <w:szCs w:val="18"/>
              </w:rPr>
              <w:t>C</w:t>
            </w:r>
            <w:r w:rsidR="0023354C" w:rsidRPr="00CB065F">
              <w:rPr>
                <w:rFonts w:ascii="Verdana" w:hAnsi="Verdana" w:cs="Arial"/>
                <w:sz w:val="18"/>
                <w:szCs w:val="18"/>
              </w:rPr>
              <w:t>omment</w:t>
            </w:r>
          </w:p>
        </w:tc>
        <w:tc>
          <w:tcPr>
            <w:tcW w:w="9851" w:type="dxa"/>
            <w:tcMar>
              <w:top w:w="14" w:type="dxa"/>
              <w:left w:w="58" w:type="dxa"/>
              <w:bottom w:w="14" w:type="dxa"/>
              <w:right w:w="58" w:type="dxa"/>
            </w:tcMar>
            <w:vAlign w:val="center"/>
          </w:tcPr>
          <w:p w:rsidR="0023354C" w:rsidRPr="008F7828" w:rsidRDefault="0023354C"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Arial" w:hAnsi="Arial" w:cs="Arial"/>
                <w:color w:val="0000FF"/>
                <w:sz w:val="18"/>
                <w:szCs w:val="18"/>
              </w:rPr>
            </w:pPr>
            <w:r w:rsidRPr="008F7828">
              <w:rPr>
                <w:rFonts w:ascii="Arial" w:hAnsi="Arial" w:cs="Arial"/>
                <w:bCs/>
                <w:color w:val="0000FF"/>
                <w:sz w:val="18"/>
                <w:szCs w:val="18"/>
              </w:rPr>
              <w:fldChar w:fldCharType="begin">
                <w:ffData>
                  <w:name w:val="Text3"/>
                  <w:enabled/>
                  <w:calcOnExit w:val="0"/>
                  <w:textInput/>
                </w:ffData>
              </w:fldChar>
            </w:r>
            <w:r w:rsidRPr="008F7828">
              <w:rPr>
                <w:rFonts w:ascii="Arial" w:hAnsi="Arial" w:cs="Arial"/>
                <w:bCs/>
                <w:color w:val="0000FF"/>
                <w:sz w:val="18"/>
                <w:szCs w:val="18"/>
              </w:rPr>
              <w:instrText xml:space="preserve"> FORMTEXT </w:instrText>
            </w:r>
            <w:r w:rsidRPr="008F7828">
              <w:rPr>
                <w:rFonts w:ascii="Arial" w:hAnsi="Arial" w:cs="Arial"/>
                <w:bCs/>
                <w:color w:val="0000FF"/>
                <w:sz w:val="18"/>
                <w:szCs w:val="18"/>
              </w:rPr>
            </w:r>
            <w:r w:rsidRPr="008F7828">
              <w:rPr>
                <w:rFonts w:ascii="Arial" w:hAnsi="Arial" w:cs="Arial"/>
                <w:bCs/>
                <w:color w:val="0000FF"/>
                <w:sz w:val="18"/>
                <w:szCs w:val="18"/>
              </w:rPr>
              <w:fldChar w:fldCharType="separate"/>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hAnsi="Arial" w:cs="Arial"/>
                <w:bCs/>
                <w:color w:val="0000FF"/>
                <w:sz w:val="18"/>
                <w:szCs w:val="18"/>
              </w:rPr>
              <w:fldChar w:fldCharType="end"/>
            </w:r>
          </w:p>
        </w:tc>
      </w:tr>
      <w:tr w:rsidR="0023354C" w:rsidTr="00CB065F">
        <w:trPr>
          <w:cantSplit/>
          <w:jc w:val="center"/>
        </w:trPr>
        <w:tc>
          <w:tcPr>
            <w:tcW w:w="1079" w:type="dxa"/>
            <w:vAlign w:val="center"/>
          </w:tcPr>
          <w:p w:rsidR="0023354C" w:rsidRPr="00CB065F" w:rsidRDefault="00CD4659" w:rsidP="00B272BC">
            <w:pPr>
              <w:jc w:val="center"/>
              <w:rPr>
                <w:rFonts w:ascii="Verdana" w:hAnsi="Verdana" w:cs="Arial"/>
                <w:b/>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51" w:type="dxa"/>
            <w:tcMar>
              <w:top w:w="14" w:type="dxa"/>
              <w:left w:w="58" w:type="dxa"/>
              <w:bottom w:w="14" w:type="dxa"/>
              <w:right w:w="58" w:type="dxa"/>
            </w:tcMar>
            <w:vAlign w:val="center"/>
          </w:tcPr>
          <w:p w:rsidR="0023354C" w:rsidRPr="008F7828" w:rsidRDefault="0023354C" w:rsidP="00B272BC">
            <w:pPr>
              <w:rPr>
                <w:rFonts w:ascii="Arial" w:hAnsi="Arial" w:cs="Arial"/>
                <w:sz w:val="18"/>
                <w:szCs w:val="18"/>
              </w:rPr>
            </w:pPr>
            <w:r w:rsidRPr="008F7828">
              <w:rPr>
                <w:rFonts w:ascii="Arial" w:hAnsi="Arial" w:cs="Arial"/>
                <w:sz w:val="18"/>
                <w:szCs w:val="18"/>
              </w:rPr>
              <w:t>A202(A)(8)(b)(ix) - For an underground water storage facility, an assessment of the potential of the discharge to cause the leaching of pollutants from surface soils or vadose zone materials or cause the migration of contaminated groundwater;</w:t>
            </w:r>
          </w:p>
        </w:tc>
      </w:tr>
      <w:tr w:rsidR="0023354C" w:rsidTr="00CB065F">
        <w:trPr>
          <w:cantSplit/>
          <w:jc w:val="center"/>
        </w:trPr>
        <w:tc>
          <w:tcPr>
            <w:tcW w:w="1079" w:type="dxa"/>
            <w:vAlign w:val="center"/>
          </w:tcPr>
          <w:p w:rsidR="0023354C" w:rsidRPr="00CB065F" w:rsidRDefault="007F104F"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sz w:val="18"/>
                <w:szCs w:val="18"/>
              </w:rPr>
              <w:t>C</w:t>
            </w:r>
            <w:r w:rsidR="0023354C" w:rsidRPr="00CB065F">
              <w:rPr>
                <w:rFonts w:ascii="Verdana" w:hAnsi="Verdana" w:cs="Arial"/>
                <w:sz w:val="18"/>
                <w:szCs w:val="18"/>
              </w:rPr>
              <w:t>omment</w:t>
            </w:r>
          </w:p>
        </w:tc>
        <w:tc>
          <w:tcPr>
            <w:tcW w:w="9851" w:type="dxa"/>
            <w:tcMar>
              <w:top w:w="14" w:type="dxa"/>
              <w:left w:w="58" w:type="dxa"/>
              <w:bottom w:w="14" w:type="dxa"/>
              <w:right w:w="58" w:type="dxa"/>
            </w:tcMar>
            <w:vAlign w:val="center"/>
          </w:tcPr>
          <w:p w:rsidR="0023354C" w:rsidRPr="008F7828" w:rsidRDefault="0023354C"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Arial" w:hAnsi="Arial" w:cs="Arial"/>
                <w:color w:val="0000FF"/>
                <w:sz w:val="18"/>
                <w:szCs w:val="18"/>
              </w:rPr>
            </w:pPr>
            <w:r w:rsidRPr="008F7828">
              <w:rPr>
                <w:rFonts w:ascii="Arial" w:hAnsi="Arial" w:cs="Arial"/>
                <w:bCs/>
                <w:color w:val="0000FF"/>
                <w:sz w:val="18"/>
                <w:szCs w:val="18"/>
              </w:rPr>
              <w:fldChar w:fldCharType="begin">
                <w:ffData>
                  <w:name w:val="Text3"/>
                  <w:enabled/>
                  <w:calcOnExit w:val="0"/>
                  <w:textInput/>
                </w:ffData>
              </w:fldChar>
            </w:r>
            <w:r w:rsidRPr="008F7828">
              <w:rPr>
                <w:rFonts w:ascii="Arial" w:hAnsi="Arial" w:cs="Arial"/>
                <w:bCs/>
                <w:color w:val="0000FF"/>
                <w:sz w:val="18"/>
                <w:szCs w:val="18"/>
              </w:rPr>
              <w:instrText xml:space="preserve"> FORMTEXT </w:instrText>
            </w:r>
            <w:r w:rsidRPr="008F7828">
              <w:rPr>
                <w:rFonts w:ascii="Arial" w:hAnsi="Arial" w:cs="Arial"/>
                <w:bCs/>
                <w:color w:val="0000FF"/>
                <w:sz w:val="18"/>
                <w:szCs w:val="18"/>
              </w:rPr>
            </w:r>
            <w:r w:rsidRPr="008F7828">
              <w:rPr>
                <w:rFonts w:ascii="Arial" w:hAnsi="Arial" w:cs="Arial"/>
                <w:bCs/>
                <w:color w:val="0000FF"/>
                <w:sz w:val="18"/>
                <w:szCs w:val="18"/>
              </w:rPr>
              <w:fldChar w:fldCharType="separate"/>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hAnsi="Arial" w:cs="Arial"/>
                <w:bCs/>
                <w:color w:val="0000FF"/>
                <w:sz w:val="18"/>
                <w:szCs w:val="18"/>
              </w:rPr>
              <w:fldChar w:fldCharType="end"/>
            </w:r>
          </w:p>
        </w:tc>
      </w:tr>
      <w:tr w:rsidR="0023354C" w:rsidTr="00CB065F">
        <w:trPr>
          <w:cantSplit/>
          <w:jc w:val="center"/>
        </w:trPr>
        <w:tc>
          <w:tcPr>
            <w:tcW w:w="1079" w:type="dxa"/>
            <w:vAlign w:val="center"/>
          </w:tcPr>
          <w:p w:rsidR="0023354C" w:rsidRPr="00CB065F" w:rsidRDefault="00CD4659" w:rsidP="00B272BC">
            <w:pPr>
              <w:jc w:val="center"/>
              <w:rPr>
                <w:rFonts w:ascii="Verdana" w:hAnsi="Verdana" w:cs="Arial"/>
                <w:b/>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51" w:type="dxa"/>
            <w:tcMar>
              <w:top w:w="14" w:type="dxa"/>
              <w:left w:w="58" w:type="dxa"/>
              <w:bottom w:w="14" w:type="dxa"/>
              <w:right w:w="58" w:type="dxa"/>
            </w:tcMar>
            <w:vAlign w:val="center"/>
          </w:tcPr>
          <w:p w:rsidR="0023354C" w:rsidRPr="008F7828" w:rsidRDefault="0023354C" w:rsidP="00952095">
            <w:pPr>
              <w:rPr>
                <w:rFonts w:ascii="Arial" w:hAnsi="Arial" w:cs="Arial"/>
                <w:sz w:val="18"/>
                <w:szCs w:val="18"/>
              </w:rPr>
            </w:pPr>
            <w:r w:rsidRPr="008F7828">
              <w:rPr>
                <w:rFonts w:ascii="Arial" w:hAnsi="Arial" w:cs="Arial"/>
                <w:sz w:val="18"/>
                <w:szCs w:val="18"/>
              </w:rPr>
              <w:t>A202(A)(8)(b)(x) - Any changes in groundwater quality expected because of the discharge;</w:t>
            </w:r>
          </w:p>
        </w:tc>
      </w:tr>
      <w:tr w:rsidR="0023354C" w:rsidTr="00CB065F">
        <w:trPr>
          <w:cantSplit/>
          <w:jc w:val="center"/>
        </w:trPr>
        <w:tc>
          <w:tcPr>
            <w:tcW w:w="1079" w:type="dxa"/>
            <w:vAlign w:val="center"/>
          </w:tcPr>
          <w:p w:rsidR="0023354C" w:rsidRPr="00CB065F" w:rsidRDefault="007F104F"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sz w:val="18"/>
                <w:szCs w:val="18"/>
              </w:rPr>
              <w:t>C</w:t>
            </w:r>
            <w:r w:rsidR="0023354C" w:rsidRPr="00CB065F">
              <w:rPr>
                <w:rFonts w:ascii="Verdana" w:hAnsi="Verdana" w:cs="Arial"/>
                <w:sz w:val="18"/>
                <w:szCs w:val="18"/>
              </w:rPr>
              <w:t>omment</w:t>
            </w:r>
          </w:p>
        </w:tc>
        <w:tc>
          <w:tcPr>
            <w:tcW w:w="9851" w:type="dxa"/>
            <w:tcMar>
              <w:top w:w="14" w:type="dxa"/>
              <w:left w:w="58" w:type="dxa"/>
              <w:bottom w:w="14" w:type="dxa"/>
              <w:right w:w="58" w:type="dxa"/>
            </w:tcMar>
            <w:vAlign w:val="center"/>
          </w:tcPr>
          <w:p w:rsidR="0023354C" w:rsidRPr="008F7828" w:rsidRDefault="0023354C"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Arial" w:hAnsi="Arial" w:cs="Arial"/>
                <w:color w:val="0000FF"/>
                <w:sz w:val="18"/>
                <w:szCs w:val="18"/>
              </w:rPr>
            </w:pPr>
            <w:r w:rsidRPr="008F7828">
              <w:rPr>
                <w:rFonts w:ascii="Arial" w:hAnsi="Arial" w:cs="Arial"/>
                <w:bCs/>
                <w:color w:val="0000FF"/>
                <w:sz w:val="18"/>
                <w:szCs w:val="18"/>
              </w:rPr>
              <w:fldChar w:fldCharType="begin">
                <w:ffData>
                  <w:name w:val="Text3"/>
                  <w:enabled/>
                  <w:calcOnExit w:val="0"/>
                  <w:textInput/>
                </w:ffData>
              </w:fldChar>
            </w:r>
            <w:r w:rsidRPr="008F7828">
              <w:rPr>
                <w:rFonts w:ascii="Arial" w:hAnsi="Arial" w:cs="Arial"/>
                <w:bCs/>
                <w:color w:val="0000FF"/>
                <w:sz w:val="18"/>
                <w:szCs w:val="18"/>
              </w:rPr>
              <w:instrText xml:space="preserve"> FORMTEXT </w:instrText>
            </w:r>
            <w:r w:rsidRPr="008F7828">
              <w:rPr>
                <w:rFonts w:ascii="Arial" w:hAnsi="Arial" w:cs="Arial"/>
                <w:bCs/>
                <w:color w:val="0000FF"/>
                <w:sz w:val="18"/>
                <w:szCs w:val="18"/>
              </w:rPr>
            </w:r>
            <w:r w:rsidRPr="008F7828">
              <w:rPr>
                <w:rFonts w:ascii="Arial" w:hAnsi="Arial" w:cs="Arial"/>
                <w:bCs/>
                <w:color w:val="0000FF"/>
                <w:sz w:val="18"/>
                <w:szCs w:val="18"/>
              </w:rPr>
              <w:fldChar w:fldCharType="separate"/>
            </w:r>
            <w:r w:rsidRPr="008F7828">
              <w:rPr>
                <w:rFonts w:ascii="Arial" w:hAnsi="Arial" w:cs="Arial"/>
                <w:bCs/>
                <w:noProof/>
                <w:color w:val="0000FF"/>
                <w:sz w:val="18"/>
                <w:szCs w:val="18"/>
              </w:rPr>
              <w:t> </w:t>
            </w:r>
            <w:r w:rsidRPr="008F7828">
              <w:rPr>
                <w:rFonts w:ascii="Arial" w:hAnsi="Arial" w:cs="Arial"/>
                <w:bCs/>
                <w:noProof/>
                <w:color w:val="0000FF"/>
                <w:sz w:val="18"/>
                <w:szCs w:val="18"/>
              </w:rPr>
              <w:t> </w:t>
            </w:r>
            <w:r w:rsidRPr="008F7828">
              <w:rPr>
                <w:rFonts w:ascii="Arial" w:hAnsi="Arial" w:cs="Arial"/>
                <w:bCs/>
                <w:noProof/>
                <w:color w:val="0000FF"/>
                <w:sz w:val="18"/>
                <w:szCs w:val="18"/>
              </w:rPr>
              <w:t> </w:t>
            </w:r>
            <w:r w:rsidRPr="008F7828">
              <w:rPr>
                <w:rFonts w:ascii="Arial" w:hAnsi="Arial" w:cs="Arial"/>
                <w:bCs/>
                <w:noProof/>
                <w:color w:val="0000FF"/>
                <w:sz w:val="18"/>
                <w:szCs w:val="18"/>
              </w:rPr>
              <w:t> </w:t>
            </w:r>
            <w:r w:rsidRPr="008F7828">
              <w:rPr>
                <w:rFonts w:ascii="Arial" w:hAnsi="Arial" w:cs="Arial"/>
                <w:bCs/>
                <w:noProof/>
                <w:color w:val="0000FF"/>
                <w:sz w:val="18"/>
                <w:szCs w:val="18"/>
              </w:rPr>
              <w:t> </w:t>
            </w:r>
            <w:r w:rsidRPr="008F7828">
              <w:rPr>
                <w:rFonts w:ascii="Arial" w:hAnsi="Arial" w:cs="Arial"/>
                <w:bCs/>
                <w:color w:val="0000FF"/>
                <w:sz w:val="18"/>
                <w:szCs w:val="18"/>
              </w:rPr>
              <w:fldChar w:fldCharType="end"/>
            </w:r>
          </w:p>
        </w:tc>
      </w:tr>
      <w:tr w:rsidR="0023354C" w:rsidTr="00CB065F">
        <w:trPr>
          <w:cantSplit/>
          <w:jc w:val="center"/>
        </w:trPr>
        <w:tc>
          <w:tcPr>
            <w:tcW w:w="1079" w:type="dxa"/>
            <w:vAlign w:val="center"/>
          </w:tcPr>
          <w:p w:rsidR="0023354C" w:rsidRPr="00CB065F" w:rsidRDefault="00CD4659" w:rsidP="00B272BC">
            <w:pPr>
              <w:jc w:val="center"/>
              <w:rPr>
                <w:rFonts w:ascii="Verdana" w:hAnsi="Verdana" w:cs="Arial"/>
                <w:b/>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51" w:type="dxa"/>
            <w:tcMar>
              <w:top w:w="14" w:type="dxa"/>
              <w:left w:w="58" w:type="dxa"/>
              <w:bottom w:w="14" w:type="dxa"/>
              <w:right w:w="58" w:type="dxa"/>
            </w:tcMar>
            <w:vAlign w:val="center"/>
          </w:tcPr>
          <w:p w:rsidR="0023354C" w:rsidRPr="008F7828" w:rsidRDefault="0023354C"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8F7828">
              <w:rPr>
                <w:rFonts w:ascii="Arial" w:hAnsi="Arial" w:cs="Arial"/>
                <w:sz w:val="18"/>
                <w:szCs w:val="18"/>
              </w:rPr>
              <w:t>A202(A)(8)(b)(xi) - A description of any expected changes in the elevation or flow directions of the groundwater expected to be caused by the facility;</w:t>
            </w:r>
          </w:p>
        </w:tc>
      </w:tr>
      <w:tr w:rsidR="0023354C" w:rsidTr="00CB065F">
        <w:trPr>
          <w:cantSplit/>
          <w:jc w:val="center"/>
        </w:trPr>
        <w:tc>
          <w:tcPr>
            <w:tcW w:w="1079" w:type="dxa"/>
            <w:vAlign w:val="center"/>
          </w:tcPr>
          <w:p w:rsidR="0023354C" w:rsidRPr="00CB065F" w:rsidRDefault="007F104F"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sz w:val="18"/>
                <w:szCs w:val="18"/>
              </w:rPr>
              <w:t>C</w:t>
            </w:r>
            <w:r w:rsidR="0023354C" w:rsidRPr="00CB065F">
              <w:rPr>
                <w:rFonts w:ascii="Verdana" w:hAnsi="Verdana" w:cs="Arial"/>
                <w:sz w:val="18"/>
                <w:szCs w:val="18"/>
              </w:rPr>
              <w:t>omment</w:t>
            </w:r>
          </w:p>
        </w:tc>
        <w:tc>
          <w:tcPr>
            <w:tcW w:w="9851" w:type="dxa"/>
            <w:tcMar>
              <w:top w:w="14" w:type="dxa"/>
              <w:left w:w="58" w:type="dxa"/>
              <w:bottom w:w="14" w:type="dxa"/>
              <w:right w:w="58" w:type="dxa"/>
            </w:tcMar>
            <w:vAlign w:val="center"/>
          </w:tcPr>
          <w:p w:rsidR="0023354C" w:rsidRPr="008F7828" w:rsidRDefault="0023354C"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Arial" w:hAnsi="Arial" w:cs="Arial"/>
                <w:color w:val="0000FF"/>
                <w:sz w:val="18"/>
                <w:szCs w:val="18"/>
              </w:rPr>
            </w:pPr>
            <w:r w:rsidRPr="008F7828">
              <w:rPr>
                <w:rFonts w:ascii="Arial" w:hAnsi="Arial" w:cs="Arial"/>
                <w:bCs/>
                <w:color w:val="0000FF"/>
                <w:sz w:val="18"/>
                <w:szCs w:val="18"/>
              </w:rPr>
              <w:fldChar w:fldCharType="begin">
                <w:ffData>
                  <w:name w:val=""/>
                  <w:enabled/>
                  <w:calcOnExit w:val="0"/>
                  <w:textInput/>
                </w:ffData>
              </w:fldChar>
            </w:r>
            <w:r w:rsidRPr="008F7828">
              <w:rPr>
                <w:rFonts w:ascii="Arial" w:hAnsi="Arial" w:cs="Arial"/>
                <w:bCs/>
                <w:color w:val="0000FF"/>
                <w:sz w:val="18"/>
                <w:szCs w:val="18"/>
              </w:rPr>
              <w:instrText xml:space="preserve"> FORMTEXT </w:instrText>
            </w:r>
            <w:r w:rsidRPr="008F7828">
              <w:rPr>
                <w:rFonts w:ascii="Arial" w:hAnsi="Arial" w:cs="Arial"/>
                <w:bCs/>
                <w:color w:val="0000FF"/>
                <w:sz w:val="18"/>
                <w:szCs w:val="18"/>
              </w:rPr>
            </w:r>
            <w:r w:rsidRPr="008F7828">
              <w:rPr>
                <w:rFonts w:ascii="Arial" w:hAnsi="Arial" w:cs="Arial"/>
                <w:bCs/>
                <w:color w:val="0000FF"/>
                <w:sz w:val="18"/>
                <w:szCs w:val="18"/>
              </w:rPr>
              <w:fldChar w:fldCharType="separate"/>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hAnsi="Arial" w:cs="Arial"/>
                <w:bCs/>
                <w:color w:val="0000FF"/>
                <w:sz w:val="18"/>
                <w:szCs w:val="18"/>
              </w:rPr>
              <w:fldChar w:fldCharType="end"/>
            </w:r>
          </w:p>
        </w:tc>
      </w:tr>
      <w:tr w:rsidR="0023354C" w:rsidTr="00CB065F">
        <w:trPr>
          <w:cantSplit/>
          <w:jc w:val="center"/>
        </w:trPr>
        <w:tc>
          <w:tcPr>
            <w:tcW w:w="1079" w:type="dxa"/>
            <w:vAlign w:val="center"/>
          </w:tcPr>
          <w:p w:rsidR="0023354C" w:rsidRPr="00CB065F" w:rsidRDefault="00CD4659" w:rsidP="00B272BC">
            <w:pPr>
              <w:jc w:val="center"/>
              <w:rPr>
                <w:rFonts w:ascii="Verdana" w:hAnsi="Verdana" w:cs="Arial"/>
                <w:b/>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51" w:type="dxa"/>
            <w:tcMar>
              <w:top w:w="14" w:type="dxa"/>
              <w:left w:w="58" w:type="dxa"/>
              <w:bottom w:w="14" w:type="dxa"/>
              <w:right w:w="58" w:type="dxa"/>
            </w:tcMar>
            <w:vAlign w:val="center"/>
          </w:tcPr>
          <w:p w:rsidR="0023354C" w:rsidRPr="008F7828" w:rsidRDefault="0023354C" w:rsidP="00B272BC">
            <w:pPr>
              <w:rPr>
                <w:rFonts w:ascii="Arial" w:hAnsi="Arial" w:cs="Arial"/>
                <w:sz w:val="18"/>
                <w:szCs w:val="18"/>
              </w:rPr>
            </w:pPr>
            <w:r w:rsidRPr="008F7828">
              <w:rPr>
                <w:rFonts w:ascii="Arial" w:hAnsi="Arial" w:cs="Arial"/>
                <w:sz w:val="18"/>
                <w:szCs w:val="18"/>
              </w:rPr>
              <w:t>A202(A)(8)(b)(xii) - A map of the facility’s discharge impact area;</w:t>
            </w:r>
          </w:p>
        </w:tc>
      </w:tr>
      <w:tr w:rsidR="0023354C" w:rsidTr="00CB065F">
        <w:trPr>
          <w:cantSplit/>
          <w:jc w:val="center"/>
        </w:trPr>
        <w:tc>
          <w:tcPr>
            <w:tcW w:w="1079" w:type="dxa"/>
            <w:vAlign w:val="center"/>
          </w:tcPr>
          <w:p w:rsidR="0023354C" w:rsidRPr="00CB065F" w:rsidRDefault="007F104F"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Pr>
                <w:rFonts w:ascii="Verdana" w:hAnsi="Verdana" w:cs="Arial"/>
                <w:sz w:val="18"/>
                <w:szCs w:val="18"/>
              </w:rPr>
              <w:t>C</w:t>
            </w:r>
            <w:r w:rsidR="0023354C" w:rsidRPr="00CB065F">
              <w:rPr>
                <w:rFonts w:ascii="Verdana" w:hAnsi="Verdana" w:cs="Arial"/>
                <w:sz w:val="18"/>
                <w:szCs w:val="18"/>
              </w:rPr>
              <w:t>omment</w:t>
            </w:r>
          </w:p>
        </w:tc>
        <w:tc>
          <w:tcPr>
            <w:tcW w:w="9851" w:type="dxa"/>
            <w:tcMar>
              <w:top w:w="14" w:type="dxa"/>
              <w:left w:w="58" w:type="dxa"/>
              <w:bottom w:w="14" w:type="dxa"/>
              <w:right w:w="58" w:type="dxa"/>
            </w:tcMar>
            <w:vAlign w:val="center"/>
          </w:tcPr>
          <w:p w:rsidR="0023354C" w:rsidRPr="008F7828" w:rsidRDefault="0023354C" w:rsidP="00B27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Arial" w:hAnsi="Arial" w:cs="Arial"/>
                <w:bCs/>
                <w:color w:val="0000FF"/>
                <w:sz w:val="18"/>
                <w:szCs w:val="18"/>
              </w:rPr>
            </w:pPr>
            <w:r w:rsidRPr="008F7828">
              <w:rPr>
                <w:rFonts w:ascii="Arial" w:hAnsi="Arial" w:cs="Arial"/>
                <w:bCs/>
                <w:color w:val="0000FF"/>
                <w:sz w:val="18"/>
                <w:szCs w:val="18"/>
              </w:rPr>
              <w:fldChar w:fldCharType="begin">
                <w:ffData>
                  <w:name w:val="Text3"/>
                  <w:enabled/>
                  <w:calcOnExit w:val="0"/>
                  <w:textInput/>
                </w:ffData>
              </w:fldChar>
            </w:r>
            <w:r w:rsidRPr="008F7828">
              <w:rPr>
                <w:rFonts w:ascii="Arial" w:hAnsi="Arial" w:cs="Arial"/>
                <w:bCs/>
                <w:color w:val="0000FF"/>
                <w:sz w:val="18"/>
                <w:szCs w:val="18"/>
              </w:rPr>
              <w:instrText xml:space="preserve"> FORMTEXT </w:instrText>
            </w:r>
            <w:r w:rsidRPr="008F7828">
              <w:rPr>
                <w:rFonts w:ascii="Arial" w:hAnsi="Arial" w:cs="Arial"/>
                <w:bCs/>
                <w:color w:val="0000FF"/>
                <w:sz w:val="18"/>
                <w:szCs w:val="18"/>
              </w:rPr>
            </w:r>
            <w:r w:rsidRPr="008F7828">
              <w:rPr>
                <w:rFonts w:ascii="Arial" w:hAnsi="Arial" w:cs="Arial"/>
                <w:bCs/>
                <w:color w:val="0000FF"/>
                <w:sz w:val="18"/>
                <w:szCs w:val="18"/>
              </w:rPr>
              <w:fldChar w:fldCharType="separate"/>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eastAsia="Arial Unicode MS" w:hAnsi="Arial Unicode MS" w:cs="Arial"/>
                <w:bCs/>
                <w:noProof/>
                <w:color w:val="0000FF"/>
                <w:sz w:val="18"/>
                <w:szCs w:val="18"/>
              </w:rPr>
              <w:t> </w:t>
            </w:r>
            <w:r w:rsidRPr="008F7828">
              <w:rPr>
                <w:rFonts w:ascii="Arial" w:hAnsi="Arial" w:cs="Arial"/>
                <w:bCs/>
                <w:color w:val="0000FF"/>
                <w:sz w:val="18"/>
                <w:szCs w:val="18"/>
              </w:rPr>
              <w:fldChar w:fldCharType="end"/>
            </w:r>
          </w:p>
        </w:tc>
      </w:tr>
      <w:tr w:rsidR="0023354C" w:rsidTr="00CB065F">
        <w:trPr>
          <w:cantSplit/>
          <w:jc w:val="center"/>
        </w:trPr>
        <w:tc>
          <w:tcPr>
            <w:tcW w:w="1079" w:type="dxa"/>
            <w:vAlign w:val="center"/>
          </w:tcPr>
          <w:p w:rsidR="0023354C" w:rsidRPr="00CB065F" w:rsidRDefault="00CD4659" w:rsidP="00B272BC">
            <w:pPr>
              <w:jc w:val="center"/>
              <w:rPr>
                <w:rFonts w:ascii="Verdana" w:hAnsi="Verdana" w:cs="Arial"/>
                <w:b/>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51" w:type="dxa"/>
            <w:tcMar>
              <w:top w:w="14" w:type="dxa"/>
              <w:left w:w="58" w:type="dxa"/>
              <w:bottom w:w="14" w:type="dxa"/>
              <w:right w:w="58" w:type="dxa"/>
            </w:tcMar>
            <w:vAlign w:val="center"/>
          </w:tcPr>
          <w:p w:rsidR="0023354C" w:rsidRPr="008F7828" w:rsidRDefault="0023354C" w:rsidP="00B272BC">
            <w:pPr>
              <w:rPr>
                <w:rFonts w:ascii="Arial" w:hAnsi="Arial" w:cs="Arial"/>
                <w:sz w:val="18"/>
                <w:szCs w:val="18"/>
              </w:rPr>
            </w:pPr>
            <w:r w:rsidRPr="008F7828">
              <w:rPr>
                <w:rFonts w:ascii="Arial" w:hAnsi="Arial" w:cs="Arial"/>
                <w:sz w:val="18"/>
                <w:szCs w:val="18"/>
              </w:rPr>
              <w:t>A202(A)(8)(b)(xiii) - The criteria and methodologies used to determine the discharge impact area.</w:t>
            </w:r>
          </w:p>
        </w:tc>
      </w:tr>
    </w:tbl>
    <w:p w:rsidR="00B52CA4" w:rsidRDefault="00B52CA4"/>
    <w:p w:rsidR="00E43088" w:rsidRDefault="00B52CA4">
      <w:r>
        <w:br w:type="page"/>
      </w:r>
    </w:p>
    <w:p w:rsidR="00303EA8" w:rsidRDefault="00303EA8"/>
    <w:tbl>
      <w:tblPr>
        <w:tblW w:w="1093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00" w:type="dxa"/>
          <w:bottom w:w="14" w:type="dxa"/>
          <w:right w:w="100" w:type="dxa"/>
        </w:tblCellMar>
        <w:tblLook w:val="0000" w:firstRow="0" w:lastRow="0" w:firstColumn="0" w:lastColumn="0" w:noHBand="0" w:noVBand="0"/>
      </w:tblPr>
      <w:tblGrid>
        <w:gridCol w:w="1079"/>
        <w:gridCol w:w="9830"/>
        <w:gridCol w:w="21"/>
      </w:tblGrid>
      <w:tr w:rsidR="008263BE" w:rsidTr="00893D03">
        <w:trPr>
          <w:gridAfter w:val="1"/>
          <w:wAfter w:w="21" w:type="dxa"/>
          <w:cantSplit/>
          <w:tblHeader/>
          <w:jc w:val="center"/>
        </w:trPr>
        <w:tc>
          <w:tcPr>
            <w:tcW w:w="10909" w:type="dxa"/>
            <w:gridSpan w:val="2"/>
            <w:tcBorders>
              <w:top w:val="single" w:sz="18" w:space="0" w:color="auto"/>
              <w:left w:val="single" w:sz="18" w:space="0" w:color="auto"/>
              <w:bottom w:val="single" w:sz="6" w:space="0" w:color="auto"/>
              <w:right w:val="single" w:sz="18" w:space="0" w:color="auto"/>
            </w:tcBorders>
            <w:shd w:val="clear" w:color="auto" w:fill="FFFF99"/>
            <w:tcMar>
              <w:top w:w="14" w:type="dxa"/>
              <w:left w:w="58" w:type="dxa"/>
              <w:bottom w:w="14" w:type="dxa"/>
              <w:right w:w="58" w:type="dxa"/>
            </w:tcMar>
            <w:vAlign w:val="center"/>
          </w:tcPr>
          <w:p w:rsidR="008263BE" w:rsidRDefault="008263BE" w:rsidP="00893D03">
            <w:pPr>
              <w:rPr>
                <w:rFonts w:ascii="Arial" w:hAnsi="Arial" w:cs="Arial"/>
                <w:b/>
                <w:bCs/>
              </w:rPr>
            </w:pPr>
            <w:r>
              <w:rPr>
                <w:rFonts w:ascii="Arial" w:hAnsi="Arial" w:cs="Arial"/>
                <w:b/>
                <w:bCs/>
              </w:rPr>
              <w:t>Closure and Post-closure Plan/Strategy and Cost Estimates (</w:t>
            </w:r>
            <w:r w:rsidR="00453EE8">
              <w:rPr>
                <w:rFonts w:ascii="Arial" w:hAnsi="Arial" w:cs="Arial"/>
                <w:b/>
                <w:bCs/>
              </w:rPr>
              <w:t xml:space="preserve">WWTP, </w:t>
            </w:r>
            <w:r>
              <w:rPr>
                <w:rFonts w:ascii="Arial" w:hAnsi="Arial" w:cs="Arial"/>
                <w:b/>
                <w:bCs/>
              </w:rPr>
              <w:t xml:space="preserve">Mining and Industrial)  </w:t>
            </w:r>
          </w:p>
        </w:tc>
      </w:tr>
      <w:tr w:rsidR="008263BE" w:rsidTr="00893D03">
        <w:trPr>
          <w:gridAfter w:val="1"/>
          <w:wAfter w:w="21" w:type="dxa"/>
          <w:cantSplit/>
          <w:tblHeader/>
          <w:jc w:val="center"/>
        </w:trPr>
        <w:tc>
          <w:tcPr>
            <w:tcW w:w="10909" w:type="dxa"/>
            <w:gridSpan w:val="2"/>
            <w:tcBorders>
              <w:top w:val="single" w:sz="12" w:space="0" w:color="auto"/>
              <w:left w:val="single" w:sz="18" w:space="0" w:color="auto"/>
              <w:bottom w:val="single" w:sz="12" w:space="0" w:color="auto"/>
              <w:right w:val="single" w:sz="18" w:space="0" w:color="auto"/>
            </w:tcBorders>
            <w:shd w:val="clear" w:color="auto" w:fill="E6E6E6"/>
            <w:tcMar>
              <w:top w:w="14" w:type="dxa"/>
              <w:left w:w="58" w:type="dxa"/>
              <w:bottom w:w="14" w:type="dxa"/>
              <w:right w:w="58" w:type="dxa"/>
            </w:tcMar>
            <w:vAlign w:val="center"/>
          </w:tcPr>
          <w:p w:rsidR="008263BE" w:rsidRDefault="008263BE" w:rsidP="00893D03">
            <w:pPr>
              <w:jc w:val="center"/>
              <w:rPr>
                <w:rFonts w:ascii="Arial" w:hAnsi="Arial" w:cs="Arial"/>
                <w:sz w:val="16"/>
                <w:szCs w:val="16"/>
              </w:rPr>
            </w:pPr>
            <w:r>
              <w:rPr>
                <w:rFonts w:ascii="Arial" w:hAnsi="Arial" w:cs="Arial"/>
                <w:color w:val="0000FF"/>
                <w:sz w:val="16"/>
                <w:szCs w:val="16"/>
              </w:rPr>
              <w:t>Y: yes, meets the requirement</w:t>
            </w:r>
            <w:r>
              <w:rPr>
                <w:rFonts w:ascii="Arial" w:hAnsi="Arial" w:cs="Arial"/>
                <w:color w:val="000000"/>
                <w:sz w:val="16"/>
                <w:szCs w:val="16"/>
              </w:rPr>
              <w:t xml:space="preserve">;   </w:t>
            </w:r>
            <w:r>
              <w:rPr>
                <w:rFonts w:ascii="Arial" w:hAnsi="Arial" w:cs="Arial"/>
                <w:sz w:val="16"/>
                <w:szCs w:val="16"/>
              </w:rPr>
              <w:t xml:space="preserve"> </w:t>
            </w:r>
            <w:r>
              <w:rPr>
                <w:rFonts w:ascii="Arial" w:hAnsi="Arial" w:cs="Arial"/>
                <w:color w:val="FF0000"/>
                <w:sz w:val="16"/>
                <w:szCs w:val="16"/>
              </w:rPr>
              <w:t>N: no, does not meet the requirement (see comment below)</w:t>
            </w:r>
            <w:r>
              <w:rPr>
                <w:rFonts w:ascii="Arial" w:hAnsi="Arial" w:cs="Arial"/>
                <w:color w:val="000000"/>
                <w:sz w:val="16"/>
                <w:szCs w:val="16"/>
              </w:rPr>
              <w:t>;</w:t>
            </w:r>
            <w:r>
              <w:rPr>
                <w:rFonts w:ascii="Arial" w:hAnsi="Arial" w:cs="Arial"/>
                <w:sz w:val="16"/>
                <w:szCs w:val="16"/>
              </w:rPr>
              <w:t xml:space="preserve">    NA: does not apply</w:t>
            </w:r>
          </w:p>
        </w:tc>
      </w:tr>
      <w:tr w:rsidR="008263BE" w:rsidRPr="006727E7" w:rsidTr="00893D03">
        <w:trPr>
          <w:gridAfter w:val="1"/>
          <w:wAfter w:w="21" w:type="dxa"/>
          <w:cantSplit/>
          <w:jc w:val="center"/>
        </w:trPr>
        <w:tc>
          <w:tcPr>
            <w:tcW w:w="10909" w:type="dxa"/>
            <w:gridSpan w:val="2"/>
            <w:tcBorders>
              <w:top w:val="single" w:sz="6" w:space="0" w:color="auto"/>
              <w:left w:val="single" w:sz="18" w:space="0" w:color="auto"/>
              <w:bottom w:val="single" w:sz="6" w:space="0" w:color="auto"/>
              <w:right w:val="single" w:sz="18" w:space="0" w:color="auto"/>
            </w:tcBorders>
            <w:vAlign w:val="center"/>
          </w:tcPr>
          <w:p w:rsidR="008263BE" w:rsidRPr="00CB065F" w:rsidRDefault="008263BE" w:rsidP="00893D03">
            <w:pPr>
              <w:rPr>
                <w:rFonts w:ascii="Verdana" w:hAnsi="Verdana" w:cs="Arial"/>
                <w:sz w:val="18"/>
                <w:szCs w:val="18"/>
              </w:rPr>
            </w:pPr>
          </w:p>
        </w:tc>
      </w:tr>
      <w:tr w:rsidR="008263BE" w:rsidTr="00893D0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vAlign w:val="center"/>
          </w:tcPr>
          <w:p w:rsidR="008263BE" w:rsidRPr="00F86073" w:rsidRDefault="00CD4659" w:rsidP="00893D03">
            <w:pPr>
              <w:jc w:val="center"/>
              <w:rPr>
                <w:rFonts w:ascii="Verdana" w:hAnsi="Verdana" w:cs="Arial"/>
                <w:sz w:val="18"/>
                <w:szCs w:val="18"/>
              </w:rPr>
            </w:pPr>
            <w:r>
              <w:rPr>
                <w:rFonts w:ascii="Verdana" w:hAnsi="Verdana" w:cs="Arial"/>
                <w:color w:val="0000FF"/>
                <w:sz w:val="18"/>
                <w:szCs w:val="18"/>
              </w:rPr>
              <w:fldChar w:fldCharType="begin">
                <w:ffData>
                  <w:name w:val="Dropdown1"/>
                  <w:enabled/>
                  <w:calcOnExit w:val="0"/>
                  <w:ddList>
                    <w:listEntry w:val="Select"/>
                    <w:listEntry w:val="Yes"/>
                    <w:listEntry w:val="No"/>
                    <w:listEntry w:val="N/A"/>
                  </w:ddList>
                </w:ffData>
              </w:fldChar>
            </w:r>
            <w:r>
              <w:rPr>
                <w:rFonts w:ascii="Verdana" w:hAnsi="Verdana" w:cs="Arial"/>
                <w:color w:val="0000FF"/>
                <w:sz w:val="18"/>
                <w:szCs w:val="18"/>
              </w:rPr>
              <w:instrText xml:space="preserve"> FORMDROPDOWN </w:instrText>
            </w:r>
            <w:r w:rsidR="00A43238">
              <w:rPr>
                <w:rFonts w:ascii="Verdana" w:hAnsi="Verdana" w:cs="Arial"/>
                <w:color w:val="0000FF"/>
                <w:sz w:val="18"/>
                <w:szCs w:val="18"/>
              </w:rPr>
            </w:r>
            <w:r w:rsidR="00A43238">
              <w:rPr>
                <w:rFonts w:ascii="Verdana" w:hAnsi="Verdana" w:cs="Arial"/>
                <w:color w:val="0000FF"/>
                <w:sz w:val="18"/>
                <w:szCs w:val="18"/>
              </w:rPr>
              <w:fldChar w:fldCharType="separate"/>
            </w:r>
            <w:r>
              <w:rPr>
                <w:rFonts w:ascii="Verdana" w:hAnsi="Verdana" w:cs="Arial"/>
                <w:color w:val="0000FF"/>
                <w:sz w:val="18"/>
                <w:szCs w:val="18"/>
              </w:rPr>
              <w:fldChar w:fldCharType="end"/>
            </w:r>
          </w:p>
        </w:tc>
        <w:tc>
          <w:tcPr>
            <w:tcW w:w="9851" w:type="dxa"/>
            <w:gridSpan w:val="2"/>
            <w:tcMar>
              <w:top w:w="14" w:type="dxa"/>
              <w:left w:w="58" w:type="dxa"/>
              <w:bottom w:w="14" w:type="dxa"/>
              <w:right w:w="58" w:type="dxa"/>
            </w:tcMar>
            <w:vAlign w:val="center"/>
          </w:tcPr>
          <w:p w:rsidR="008263BE" w:rsidRPr="00F86073" w:rsidRDefault="008263BE" w:rsidP="00893D03">
            <w:pPr>
              <w:rPr>
                <w:rFonts w:ascii="Verdana" w:hAnsi="Verdana" w:cs="Arial"/>
                <w:sz w:val="18"/>
                <w:szCs w:val="18"/>
              </w:rPr>
            </w:pPr>
            <w:r w:rsidRPr="00F86073">
              <w:rPr>
                <w:rFonts w:ascii="Verdana" w:hAnsi="Verdana" w:cs="Arial"/>
                <w:bCs/>
                <w:sz w:val="18"/>
                <w:szCs w:val="18"/>
              </w:rPr>
              <w:t xml:space="preserve">A202(A)(10) </w:t>
            </w:r>
            <w:r w:rsidRPr="00F86073">
              <w:rPr>
                <w:rFonts w:ascii="Verdana" w:hAnsi="Verdana"/>
                <w:sz w:val="18"/>
                <w:szCs w:val="18"/>
              </w:rPr>
              <w:t>Closure &amp; Post-Closure Plan or Strategy</w:t>
            </w:r>
            <w:r>
              <w:rPr>
                <w:rFonts w:ascii="Verdana" w:hAnsi="Verdana"/>
                <w:sz w:val="18"/>
                <w:szCs w:val="18"/>
              </w:rPr>
              <w:t xml:space="preserve"> and </w:t>
            </w:r>
            <w:r w:rsidRPr="00F86073">
              <w:rPr>
                <w:rFonts w:ascii="Verdana" w:hAnsi="Verdana"/>
                <w:sz w:val="18"/>
                <w:szCs w:val="18"/>
              </w:rPr>
              <w:t xml:space="preserve">A201(B)(5) </w:t>
            </w:r>
            <w:r>
              <w:rPr>
                <w:rFonts w:ascii="Verdana" w:hAnsi="Verdana"/>
                <w:sz w:val="18"/>
                <w:szCs w:val="18"/>
              </w:rPr>
              <w:t xml:space="preserve">Closure and Post-Closure </w:t>
            </w:r>
            <w:r w:rsidRPr="00F86073">
              <w:rPr>
                <w:rFonts w:ascii="Verdana" w:hAnsi="Verdana"/>
                <w:sz w:val="18"/>
                <w:szCs w:val="18"/>
              </w:rPr>
              <w:t>Cost Estimates</w:t>
            </w:r>
            <w:r>
              <w:rPr>
                <w:rFonts w:ascii="Verdana" w:hAnsi="Verdana"/>
                <w:sz w:val="18"/>
                <w:szCs w:val="18"/>
              </w:rPr>
              <w:t xml:space="preserve"> should be evaluated using the checklist:</w:t>
            </w:r>
            <w:r w:rsidRPr="00F86073">
              <w:rPr>
                <w:rFonts w:ascii="Verdana" w:hAnsi="Verdana"/>
                <w:sz w:val="18"/>
                <w:szCs w:val="18"/>
              </w:rPr>
              <w:t xml:space="preserve"> </w:t>
            </w:r>
            <w:r>
              <w:rPr>
                <w:rFonts w:ascii="Verdana" w:hAnsi="Verdana"/>
                <w:sz w:val="18"/>
                <w:szCs w:val="18"/>
              </w:rPr>
              <w:t xml:space="preserve"> Closure and Post-Closure Plan/Strategy and Cost Estimate</w:t>
            </w:r>
            <w:r w:rsidRPr="00F86073">
              <w:rPr>
                <w:rFonts w:ascii="Verdana" w:hAnsi="Verdana"/>
                <w:sz w:val="18"/>
                <w:szCs w:val="18"/>
              </w:rPr>
              <w:t xml:space="preserve"> </w:t>
            </w:r>
            <w:r>
              <w:rPr>
                <w:rFonts w:ascii="Verdana" w:hAnsi="Verdana"/>
                <w:sz w:val="18"/>
                <w:szCs w:val="18"/>
              </w:rPr>
              <w:t>C</w:t>
            </w:r>
            <w:r w:rsidRPr="00F86073">
              <w:rPr>
                <w:rFonts w:ascii="Verdana" w:hAnsi="Verdana"/>
                <w:sz w:val="18"/>
                <w:szCs w:val="18"/>
              </w:rPr>
              <w:t>hecklist</w:t>
            </w:r>
            <w:r>
              <w:rPr>
                <w:rFonts w:ascii="Verdana" w:hAnsi="Verdana"/>
                <w:sz w:val="18"/>
                <w:szCs w:val="18"/>
              </w:rPr>
              <w:t xml:space="preserve">, which is available on the ADEQ website at: </w:t>
            </w:r>
            <w:r w:rsidRPr="00DA19B6">
              <w:rPr>
                <w:rFonts w:ascii="Verdana" w:hAnsi="Verdana"/>
                <w:sz w:val="18"/>
                <w:szCs w:val="18"/>
              </w:rPr>
              <w:t>http://www.azdeq.gov/environ/water/permits/app.html</w:t>
            </w:r>
          </w:p>
        </w:tc>
      </w:tr>
      <w:tr w:rsidR="008263BE" w:rsidTr="00893D0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jc w:val="center"/>
        </w:trPr>
        <w:tc>
          <w:tcPr>
            <w:tcW w:w="1079" w:type="dxa"/>
            <w:vAlign w:val="center"/>
          </w:tcPr>
          <w:p w:rsidR="008263BE" w:rsidRPr="00F86073" w:rsidRDefault="008263BE" w:rsidP="0089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18"/>
                <w:szCs w:val="18"/>
              </w:rPr>
            </w:pPr>
            <w:r w:rsidRPr="00F86073">
              <w:rPr>
                <w:rFonts w:ascii="Verdana" w:hAnsi="Verdana" w:cs="Arial"/>
                <w:sz w:val="18"/>
                <w:szCs w:val="18"/>
              </w:rPr>
              <w:t>comment</w:t>
            </w:r>
          </w:p>
        </w:tc>
        <w:tc>
          <w:tcPr>
            <w:tcW w:w="9851" w:type="dxa"/>
            <w:gridSpan w:val="2"/>
            <w:tcMar>
              <w:top w:w="14" w:type="dxa"/>
              <w:left w:w="58" w:type="dxa"/>
              <w:bottom w:w="14" w:type="dxa"/>
              <w:right w:w="58" w:type="dxa"/>
            </w:tcMar>
            <w:vAlign w:val="center"/>
          </w:tcPr>
          <w:p w:rsidR="008263BE" w:rsidRPr="00F86073" w:rsidRDefault="008263BE" w:rsidP="0089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
              <w:rPr>
                <w:rFonts w:ascii="Verdana" w:hAnsi="Verdana" w:cs="Arial"/>
                <w:sz w:val="18"/>
                <w:szCs w:val="18"/>
              </w:rPr>
            </w:pPr>
            <w:r w:rsidRPr="00F86073">
              <w:rPr>
                <w:rFonts w:ascii="Verdana" w:hAnsi="Verdana" w:cs="Arial"/>
                <w:bCs/>
                <w:sz w:val="18"/>
                <w:szCs w:val="18"/>
              </w:rPr>
              <w:fldChar w:fldCharType="begin">
                <w:ffData>
                  <w:name w:val="Text3"/>
                  <w:enabled/>
                  <w:calcOnExit w:val="0"/>
                  <w:textInput/>
                </w:ffData>
              </w:fldChar>
            </w:r>
            <w:r w:rsidRPr="00F86073">
              <w:rPr>
                <w:rFonts w:ascii="Verdana" w:hAnsi="Verdana" w:cs="Arial"/>
                <w:bCs/>
                <w:sz w:val="18"/>
                <w:szCs w:val="18"/>
              </w:rPr>
              <w:instrText xml:space="preserve"> FORMTEXT </w:instrText>
            </w:r>
            <w:r w:rsidRPr="00F86073">
              <w:rPr>
                <w:rFonts w:ascii="Verdana" w:hAnsi="Verdana" w:cs="Arial"/>
                <w:bCs/>
                <w:sz w:val="18"/>
                <w:szCs w:val="18"/>
              </w:rPr>
            </w:r>
            <w:r w:rsidRPr="00F86073">
              <w:rPr>
                <w:rFonts w:ascii="Verdana" w:hAnsi="Verdana" w:cs="Arial"/>
                <w:bCs/>
                <w:sz w:val="18"/>
                <w:szCs w:val="18"/>
              </w:rPr>
              <w:fldChar w:fldCharType="separate"/>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eastAsia="Arial Unicode MS" w:hAnsi="Arial Unicode MS" w:cs="Arial Unicode MS"/>
                <w:bCs/>
                <w:noProof/>
                <w:sz w:val="18"/>
                <w:szCs w:val="18"/>
              </w:rPr>
              <w:t> </w:t>
            </w:r>
            <w:r w:rsidRPr="00F86073">
              <w:rPr>
                <w:rFonts w:ascii="Verdana" w:hAnsi="Verdana" w:cs="Arial"/>
                <w:bCs/>
                <w:sz w:val="18"/>
                <w:szCs w:val="18"/>
              </w:rPr>
              <w:fldChar w:fldCharType="end"/>
            </w:r>
          </w:p>
        </w:tc>
      </w:tr>
    </w:tbl>
    <w:p w:rsidR="008263BE" w:rsidRDefault="008263BE"/>
    <w:p w:rsidR="00303EA8" w:rsidRDefault="00303EA8"/>
    <w:tbl>
      <w:tblPr>
        <w:tblW w:w="1093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00" w:type="dxa"/>
          <w:bottom w:w="14" w:type="dxa"/>
          <w:right w:w="100" w:type="dxa"/>
        </w:tblCellMar>
        <w:tblLook w:val="0000" w:firstRow="0" w:lastRow="0" w:firstColumn="0" w:lastColumn="0" w:noHBand="0" w:noVBand="0"/>
      </w:tblPr>
      <w:tblGrid>
        <w:gridCol w:w="10930"/>
      </w:tblGrid>
      <w:tr w:rsidR="00B808CB" w:rsidTr="00B272BC">
        <w:trPr>
          <w:cantSplit/>
          <w:tblHeader/>
          <w:jc w:val="center"/>
        </w:trPr>
        <w:tc>
          <w:tcPr>
            <w:tcW w:w="10930" w:type="dxa"/>
            <w:tcBorders>
              <w:top w:val="single" w:sz="18" w:space="0" w:color="auto"/>
              <w:left w:val="single" w:sz="18" w:space="0" w:color="auto"/>
              <w:bottom w:val="single" w:sz="6" w:space="0" w:color="auto"/>
              <w:right w:val="single" w:sz="18" w:space="0" w:color="auto"/>
            </w:tcBorders>
            <w:shd w:val="clear" w:color="auto" w:fill="FFFF99"/>
            <w:tcMar>
              <w:top w:w="14" w:type="dxa"/>
              <w:left w:w="58" w:type="dxa"/>
              <w:bottom w:w="14" w:type="dxa"/>
              <w:right w:w="58" w:type="dxa"/>
            </w:tcMar>
            <w:vAlign w:val="center"/>
          </w:tcPr>
          <w:p w:rsidR="00B808CB" w:rsidRPr="00B31575" w:rsidRDefault="000D05A6" w:rsidP="00B272BC">
            <w:pPr>
              <w:rPr>
                <w:rFonts w:ascii="Verdana" w:hAnsi="Verdana" w:cs="Arial"/>
                <w:b/>
                <w:bCs/>
              </w:rPr>
            </w:pPr>
            <w:r>
              <w:rPr>
                <w:rFonts w:ascii="Verdana" w:hAnsi="Verdana" w:cs="Arial"/>
                <w:b/>
                <w:bCs/>
              </w:rPr>
              <w:t xml:space="preserve">Useful </w:t>
            </w:r>
            <w:r w:rsidR="00B808CB">
              <w:rPr>
                <w:rFonts w:ascii="Verdana" w:hAnsi="Verdana" w:cs="Arial"/>
                <w:b/>
                <w:bCs/>
              </w:rPr>
              <w:t>Reference</w:t>
            </w:r>
            <w:r>
              <w:rPr>
                <w:rFonts w:ascii="Verdana" w:hAnsi="Verdana" w:cs="Arial"/>
                <w:b/>
                <w:bCs/>
              </w:rPr>
              <w:t>s</w:t>
            </w:r>
            <w:r w:rsidR="00B808CB" w:rsidRPr="00B31575">
              <w:rPr>
                <w:rFonts w:ascii="Verdana" w:hAnsi="Verdana" w:cs="Arial"/>
                <w:b/>
                <w:bCs/>
              </w:rPr>
              <w:t xml:space="preserve"> </w:t>
            </w:r>
            <w:r w:rsidR="00B808CB">
              <w:rPr>
                <w:rFonts w:ascii="Verdana" w:hAnsi="Verdana" w:cs="Arial"/>
                <w:b/>
                <w:bCs/>
              </w:rPr>
              <w:t>(with links if available)</w:t>
            </w:r>
          </w:p>
        </w:tc>
      </w:tr>
      <w:tr w:rsidR="00B808CB" w:rsidTr="00B272BC">
        <w:trPr>
          <w:cantSplit/>
          <w:tblHeader/>
          <w:jc w:val="center"/>
        </w:trPr>
        <w:tc>
          <w:tcPr>
            <w:tcW w:w="10930" w:type="dxa"/>
            <w:tcBorders>
              <w:top w:val="single" w:sz="12" w:space="0" w:color="auto"/>
              <w:left w:val="single" w:sz="18" w:space="0" w:color="auto"/>
              <w:bottom w:val="single" w:sz="6" w:space="0" w:color="auto"/>
              <w:right w:val="single" w:sz="18" w:space="0" w:color="auto"/>
            </w:tcBorders>
            <w:shd w:val="clear" w:color="auto" w:fill="E6E6E6"/>
            <w:tcMar>
              <w:top w:w="14" w:type="dxa"/>
              <w:left w:w="58" w:type="dxa"/>
              <w:bottom w:w="14" w:type="dxa"/>
              <w:right w:w="58" w:type="dxa"/>
            </w:tcMar>
            <w:vAlign w:val="center"/>
          </w:tcPr>
          <w:p w:rsidR="00B808CB" w:rsidRDefault="00B808CB" w:rsidP="00B272BC">
            <w:pPr>
              <w:jc w:val="center"/>
              <w:rPr>
                <w:rFonts w:ascii="Arial" w:hAnsi="Arial" w:cs="Arial"/>
                <w:sz w:val="16"/>
                <w:szCs w:val="16"/>
              </w:rPr>
            </w:pPr>
          </w:p>
        </w:tc>
      </w:tr>
      <w:tr w:rsidR="00B808CB" w:rsidRPr="00CB065F" w:rsidTr="00B272BC">
        <w:trPr>
          <w:cantSplit/>
          <w:jc w:val="center"/>
        </w:trPr>
        <w:tc>
          <w:tcPr>
            <w:tcW w:w="10930" w:type="dxa"/>
            <w:tcBorders>
              <w:top w:val="single" w:sz="6" w:space="0" w:color="auto"/>
              <w:left w:val="single" w:sz="18" w:space="0" w:color="auto"/>
              <w:bottom w:val="single" w:sz="18" w:space="0" w:color="auto"/>
              <w:right w:val="single" w:sz="18" w:space="0" w:color="auto"/>
            </w:tcBorders>
            <w:vAlign w:val="center"/>
          </w:tcPr>
          <w:p w:rsidR="00B808CB" w:rsidRDefault="00A43238" w:rsidP="00B808CB">
            <w:pPr>
              <w:numPr>
                <w:ilvl w:val="0"/>
                <w:numId w:val="2"/>
              </w:numPr>
              <w:rPr>
                <w:rFonts w:ascii="Verdana" w:hAnsi="Verdana" w:cs="Arial"/>
                <w:sz w:val="18"/>
                <w:szCs w:val="18"/>
              </w:rPr>
            </w:pPr>
            <w:hyperlink r:id="rId12" w:history="1">
              <w:r w:rsidR="00B808CB" w:rsidRPr="00B808CB">
                <w:rPr>
                  <w:rStyle w:val="Hyperlink"/>
                  <w:rFonts w:ascii="Verdana" w:hAnsi="Verdana" w:cs="Arial"/>
                  <w:sz w:val="18"/>
                  <w:szCs w:val="18"/>
                </w:rPr>
                <w:t>Mining BADCT Manual</w:t>
              </w:r>
            </w:hyperlink>
          </w:p>
          <w:p w:rsidR="00553B67" w:rsidRPr="003342DC" w:rsidRDefault="00553B67" w:rsidP="00C617D3">
            <w:pPr>
              <w:numPr>
                <w:ilvl w:val="0"/>
                <w:numId w:val="2"/>
              </w:numPr>
              <w:rPr>
                <w:rFonts w:ascii="Verdana" w:hAnsi="Verdana" w:cs="Arial"/>
                <w:sz w:val="18"/>
                <w:szCs w:val="18"/>
              </w:rPr>
            </w:pPr>
            <w:r w:rsidRPr="00B31575">
              <w:rPr>
                <w:rFonts w:ascii="Arial" w:hAnsi="Arial" w:cs="Arial"/>
                <w:sz w:val="20"/>
                <w:szCs w:val="20"/>
              </w:rPr>
              <w:t>Blaney-Criddle</w:t>
            </w:r>
            <w:r>
              <w:rPr>
                <w:rFonts w:ascii="Arial" w:hAnsi="Arial" w:cs="Arial"/>
                <w:sz w:val="20"/>
                <w:szCs w:val="20"/>
              </w:rPr>
              <w:t xml:space="preserve"> (</w:t>
            </w:r>
            <w:hyperlink r:id="rId13" w:history="1">
              <w:r w:rsidRPr="00553B67">
                <w:rPr>
                  <w:rStyle w:val="Hyperlink"/>
                  <w:rFonts w:ascii="Arial" w:hAnsi="Arial" w:cs="Arial"/>
                  <w:sz w:val="20"/>
                  <w:szCs w:val="20"/>
                </w:rPr>
                <w:t>explanation</w:t>
              </w:r>
            </w:hyperlink>
            <w:r w:rsidR="00C617D3">
              <w:rPr>
                <w:rFonts w:ascii="Arial" w:hAnsi="Arial" w:cs="Arial"/>
                <w:sz w:val="20"/>
                <w:szCs w:val="20"/>
              </w:rPr>
              <w:t xml:space="preserve"> and </w:t>
            </w:r>
            <w:hyperlink r:id="rId14" w:history="1">
              <w:r w:rsidR="00C617D3" w:rsidRPr="00C617D3">
                <w:rPr>
                  <w:rStyle w:val="Hyperlink"/>
                  <w:rFonts w:ascii="Arial" w:hAnsi="Arial" w:cs="Arial"/>
                  <w:sz w:val="20"/>
                  <w:szCs w:val="20"/>
                </w:rPr>
                <w:t>spreadsheet</w:t>
              </w:r>
            </w:hyperlink>
            <w:r w:rsidR="00C617D3">
              <w:rPr>
                <w:rFonts w:ascii="Arial" w:hAnsi="Arial" w:cs="Arial"/>
                <w:sz w:val="20"/>
                <w:szCs w:val="20"/>
              </w:rPr>
              <w:t xml:space="preserve">  </w:t>
            </w:r>
            <w:r>
              <w:rPr>
                <w:rFonts w:ascii="Arial" w:hAnsi="Arial" w:cs="Arial"/>
                <w:sz w:val="20"/>
                <w:szCs w:val="20"/>
              </w:rPr>
              <w:t>)</w:t>
            </w:r>
            <w:r w:rsidR="00D10B31">
              <w:rPr>
                <w:rFonts w:ascii="Arial" w:hAnsi="Arial" w:cs="Arial"/>
                <w:sz w:val="20"/>
                <w:szCs w:val="20"/>
              </w:rPr>
              <w:t xml:space="preserve"> for reuse calculations</w:t>
            </w:r>
          </w:p>
          <w:p w:rsidR="005B2D9C" w:rsidRPr="003342DC" w:rsidRDefault="00635073" w:rsidP="00B808CB">
            <w:pPr>
              <w:numPr>
                <w:ilvl w:val="0"/>
                <w:numId w:val="2"/>
              </w:numPr>
              <w:rPr>
                <w:rStyle w:val="Hyperlink"/>
                <w:rFonts w:ascii="Verdana" w:hAnsi="Verdana"/>
                <w:sz w:val="18"/>
                <w:szCs w:val="18"/>
              </w:rPr>
            </w:pPr>
            <w:r>
              <w:rPr>
                <w:rFonts w:ascii="Arial" w:hAnsi="Arial" w:cs="Arial"/>
                <w:sz w:val="20"/>
                <w:szCs w:val="20"/>
              </w:rPr>
              <w:fldChar w:fldCharType="begin"/>
            </w:r>
            <w:r>
              <w:rPr>
                <w:rFonts w:ascii="Arial" w:hAnsi="Arial" w:cs="Arial"/>
                <w:sz w:val="20"/>
                <w:szCs w:val="20"/>
              </w:rPr>
              <w:instrText xml:space="preserve"> HYPERLINK "http://www.azdeq.gov/environ/waste/sps/download/gpl_guidance.pdf" </w:instrText>
            </w:r>
            <w:r>
              <w:rPr>
                <w:rFonts w:ascii="Arial" w:hAnsi="Arial" w:cs="Arial"/>
                <w:sz w:val="20"/>
                <w:szCs w:val="20"/>
              </w:rPr>
              <w:fldChar w:fldCharType="separate"/>
            </w:r>
            <w:r w:rsidR="005B2D9C" w:rsidRPr="003342DC">
              <w:rPr>
                <w:rStyle w:val="Hyperlink"/>
              </w:rPr>
              <w:t>A Screening Method to Determine Soil Concentrations Protective of Groundwater Quality (September 1996)</w:t>
            </w:r>
          </w:p>
          <w:p w:rsidR="00635073" w:rsidRPr="003342DC" w:rsidRDefault="00635073" w:rsidP="00B808CB">
            <w:pPr>
              <w:numPr>
                <w:ilvl w:val="0"/>
                <w:numId w:val="2"/>
              </w:numPr>
              <w:rPr>
                <w:rFonts w:ascii="Verdana" w:hAnsi="Verdana" w:cs="Arial"/>
                <w:sz w:val="18"/>
                <w:szCs w:val="18"/>
              </w:rPr>
            </w:pPr>
            <w:r>
              <w:rPr>
                <w:rFonts w:ascii="Arial" w:hAnsi="Arial" w:cs="Arial"/>
                <w:sz w:val="20"/>
                <w:szCs w:val="20"/>
              </w:rPr>
              <w:fldChar w:fldCharType="end"/>
            </w:r>
            <w:hyperlink r:id="rId15" w:history="1">
              <w:r w:rsidRPr="00635073">
                <w:rPr>
                  <w:rStyle w:val="Hyperlink"/>
                  <w:rFonts w:ascii="Arial" w:hAnsi="Arial" w:cs="Arial"/>
                  <w:sz w:val="20"/>
                  <w:szCs w:val="20"/>
                </w:rPr>
                <w:t>Groundwater Protection Leaching Model (VOCs) in Excel</w:t>
              </w:r>
            </w:hyperlink>
          </w:p>
          <w:p w:rsidR="00221C45" w:rsidRPr="00CB065F" w:rsidRDefault="00A43238" w:rsidP="00635073">
            <w:pPr>
              <w:numPr>
                <w:ilvl w:val="0"/>
                <w:numId w:val="2"/>
              </w:numPr>
              <w:rPr>
                <w:rFonts w:ascii="Verdana" w:hAnsi="Verdana" w:cs="Arial"/>
                <w:sz w:val="18"/>
                <w:szCs w:val="18"/>
              </w:rPr>
            </w:pPr>
            <w:hyperlink r:id="rId16" w:history="1">
              <w:r w:rsidR="00635073" w:rsidRPr="00635073">
                <w:rPr>
                  <w:rStyle w:val="Hyperlink"/>
                  <w:rFonts w:ascii="Arial" w:hAnsi="Arial" w:cs="Arial"/>
                  <w:sz w:val="20"/>
                  <w:szCs w:val="20"/>
                </w:rPr>
                <w:t>Groundwater Protection Leaching Model (VOCs) Instructions</w:t>
              </w:r>
            </w:hyperlink>
          </w:p>
        </w:tc>
      </w:tr>
      <w:tr w:rsidR="00B808CB" w:rsidTr="00B272BC">
        <w:trPr>
          <w:cantSplit/>
          <w:jc w:val="center"/>
        </w:trPr>
        <w:tc>
          <w:tcPr>
            <w:tcW w:w="10930" w:type="dxa"/>
            <w:tcBorders>
              <w:top w:val="single" w:sz="6" w:space="0" w:color="auto"/>
              <w:left w:val="single" w:sz="18" w:space="0" w:color="auto"/>
              <w:bottom w:val="single" w:sz="18" w:space="0" w:color="auto"/>
              <w:right w:val="single" w:sz="18" w:space="0" w:color="auto"/>
            </w:tcBorders>
            <w:shd w:val="clear" w:color="auto" w:fill="FFFF99"/>
            <w:vAlign w:val="center"/>
          </w:tcPr>
          <w:p w:rsidR="00B808CB" w:rsidRPr="00B31575" w:rsidRDefault="00B808CB" w:rsidP="00B272BC">
            <w:pPr>
              <w:rPr>
                <w:rFonts w:ascii="Verdana" w:hAnsi="Verdana" w:cs="Arial"/>
                <w:b/>
              </w:rPr>
            </w:pPr>
            <w:r>
              <w:rPr>
                <w:rFonts w:ascii="Verdana" w:hAnsi="Verdana" w:cs="Arial"/>
                <w:b/>
              </w:rPr>
              <w:t>Statutes and Rules</w:t>
            </w:r>
          </w:p>
        </w:tc>
      </w:tr>
      <w:tr w:rsidR="00B808CB" w:rsidTr="00B272BC">
        <w:trPr>
          <w:cantSplit/>
          <w:jc w:val="center"/>
        </w:trPr>
        <w:tc>
          <w:tcPr>
            <w:tcW w:w="10930" w:type="dxa"/>
            <w:tcBorders>
              <w:top w:val="single" w:sz="6" w:space="0" w:color="auto"/>
              <w:left w:val="single" w:sz="18" w:space="0" w:color="auto"/>
              <w:bottom w:val="single" w:sz="18" w:space="0" w:color="auto"/>
              <w:right w:val="single" w:sz="18" w:space="0" w:color="auto"/>
            </w:tcBorders>
            <w:shd w:val="clear" w:color="auto" w:fill="E6E6E6"/>
            <w:vAlign w:val="center"/>
          </w:tcPr>
          <w:p w:rsidR="00B808CB" w:rsidRPr="00B31575" w:rsidRDefault="00B808CB" w:rsidP="00B272BC">
            <w:pPr>
              <w:rPr>
                <w:rFonts w:ascii="Verdana" w:hAnsi="Verdana" w:cs="Arial"/>
                <w:sz w:val="18"/>
                <w:szCs w:val="18"/>
              </w:rPr>
            </w:pPr>
          </w:p>
        </w:tc>
      </w:tr>
      <w:tr w:rsidR="00B808CB" w:rsidRPr="00CB065F" w:rsidTr="003342DC">
        <w:trPr>
          <w:cantSplit/>
          <w:jc w:val="center"/>
        </w:trPr>
        <w:tc>
          <w:tcPr>
            <w:tcW w:w="10930" w:type="dxa"/>
            <w:tcBorders>
              <w:top w:val="single" w:sz="6" w:space="0" w:color="auto"/>
              <w:left w:val="single" w:sz="18" w:space="0" w:color="auto"/>
              <w:bottom w:val="single" w:sz="6" w:space="0" w:color="auto"/>
              <w:right w:val="single" w:sz="18" w:space="0" w:color="auto"/>
            </w:tcBorders>
            <w:vAlign w:val="center"/>
          </w:tcPr>
          <w:p w:rsidR="00B808CB" w:rsidRDefault="00B808CB" w:rsidP="00B272BC">
            <w:pPr>
              <w:rPr>
                <w:rFonts w:ascii="Verdana" w:hAnsi="Verdana" w:cs="Arial"/>
                <w:sz w:val="18"/>
                <w:szCs w:val="18"/>
              </w:rPr>
            </w:pPr>
            <w:r>
              <w:rPr>
                <w:rFonts w:ascii="Verdana" w:hAnsi="Verdana" w:cs="Arial"/>
                <w:sz w:val="18"/>
                <w:szCs w:val="18"/>
              </w:rPr>
              <w:t>Statutes</w:t>
            </w:r>
            <w:r w:rsidR="00CA70F9">
              <w:rPr>
                <w:rFonts w:ascii="Verdana" w:hAnsi="Verdana" w:cs="Arial"/>
                <w:sz w:val="18"/>
                <w:szCs w:val="18"/>
              </w:rPr>
              <w:t xml:space="preserve"> and Rules</w:t>
            </w:r>
          </w:p>
          <w:p w:rsidR="00B808CB" w:rsidRPr="00853977" w:rsidRDefault="00A43238" w:rsidP="003342DC">
            <w:pPr>
              <w:numPr>
                <w:ilvl w:val="0"/>
                <w:numId w:val="2"/>
              </w:numPr>
              <w:rPr>
                <w:rFonts w:ascii="Verdana" w:hAnsi="Verdana" w:cs="Arial"/>
                <w:sz w:val="18"/>
                <w:szCs w:val="18"/>
              </w:rPr>
            </w:pPr>
            <w:hyperlink r:id="rId17" w:history="1">
              <w:r w:rsidR="00B808CB" w:rsidRPr="00B808CB">
                <w:rPr>
                  <w:rStyle w:val="Hyperlink"/>
                  <w:rFonts w:ascii="Verdana" w:hAnsi="Verdana" w:cs="Arial"/>
                  <w:sz w:val="18"/>
                  <w:szCs w:val="18"/>
                </w:rPr>
                <w:t>Point of Compliance</w:t>
              </w:r>
            </w:hyperlink>
            <w:r w:rsidR="00CA70F9">
              <w:t xml:space="preserve"> </w:t>
            </w:r>
          </w:p>
          <w:p w:rsidR="00B808CB" w:rsidRDefault="00A43238" w:rsidP="00B808CB">
            <w:pPr>
              <w:numPr>
                <w:ilvl w:val="0"/>
                <w:numId w:val="2"/>
              </w:numPr>
              <w:rPr>
                <w:rFonts w:ascii="Verdana" w:hAnsi="Verdana" w:cs="Arial"/>
                <w:sz w:val="18"/>
                <w:szCs w:val="18"/>
              </w:rPr>
            </w:pPr>
            <w:hyperlink r:id="rId18" w:history="1">
              <w:r w:rsidR="00B808CB" w:rsidRPr="00B808CB">
                <w:rPr>
                  <w:rStyle w:val="Hyperlink"/>
                  <w:rFonts w:ascii="Verdana" w:hAnsi="Verdana" w:cs="Arial"/>
                  <w:sz w:val="18"/>
                  <w:szCs w:val="18"/>
                </w:rPr>
                <w:t>Aquifer Water Quality Standards</w:t>
              </w:r>
            </w:hyperlink>
          </w:p>
          <w:p w:rsidR="00B808CB" w:rsidRPr="003342DC" w:rsidRDefault="00A43238" w:rsidP="00B808CB">
            <w:pPr>
              <w:numPr>
                <w:ilvl w:val="0"/>
                <w:numId w:val="2"/>
              </w:numPr>
              <w:rPr>
                <w:rStyle w:val="Hyperlink"/>
                <w:rFonts w:ascii="Verdana" w:hAnsi="Verdana" w:cs="Arial"/>
                <w:color w:val="auto"/>
                <w:sz w:val="18"/>
                <w:szCs w:val="18"/>
                <w:u w:val="none"/>
              </w:rPr>
            </w:pPr>
            <w:hyperlink r:id="rId19" w:history="1">
              <w:r w:rsidR="00B808CB" w:rsidRPr="00B808CB">
                <w:rPr>
                  <w:rStyle w:val="Hyperlink"/>
                  <w:rFonts w:ascii="Verdana" w:hAnsi="Verdana" w:cs="Arial"/>
                  <w:sz w:val="18"/>
                  <w:szCs w:val="18"/>
                </w:rPr>
                <w:t xml:space="preserve">Aquifer Protection Permit </w:t>
              </w:r>
              <w:r w:rsidR="000B1CCC">
                <w:rPr>
                  <w:rStyle w:val="Hyperlink"/>
                  <w:rFonts w:ascii="Verdana" w:hAnsi="Verdana" w:cs="Arial"/>
                  <w:sz w:val="18"/>
                  <w:szCs w:val="18"/>
                </w:rPr>
                <w:t>R</w:t>
              </w:r>
              <w:r w:rsidR="00B808CB" w:rsidRPr="00B808CB">
                <w:rPr>
                  <w:rStyle w:val="Hyperlink"/>
                  <w:rFonts w:ascii="Verdana" w:hAnsi="Verdana" w:cs="Arial"/>
                  <w:sz w:val="18"/>
                  <w:szCs w:val="18"/>
                </w:rPr>
                <w:t>ules (R18-9)</w:t>
              </w:r>
            </w:hyperlink>
          </w:p>
          <w:p w:rsidR="00910F74" w:rsidRDefault="00A43238" w:rsidP="00B808CB">
            <w:pPr>
              <w:numPr>
                <w:ilvl w:val="0"/>
                <w:numId w:val="2"/>
              </w:numPr>
              <w:rPr>
                <w:rFonts w:ascii="Verdana" w:hAnsi="Verdana" w:cs="Arial"/>
                <w:sz w:val="18"/>
                <w:szCs w:val="18"/>
              </w:rPr>
            </w:pPr>
            <w:hyperlink r:id="rId20" w:history="1">
              <w:r w:rsidR="00910F74" w:rsidRPr="00910F74">
                <w:rPr>
                  <w:rStyle w:val="Hyperlink"/>
                  <w:rFonts w:ascii="Verdana" w:hAnsi="Verdana" w:cs="Arial"/>
                  <w:sz w:val="18"/>
                  <w:szCs w:val="18"/>
                </w:rPr>
                <w:t>Remedial Action – Soil Rule</w:t>
              </w:r>
            </w:hyperlink>
            <w:r w:rsidR="008A034E">
              <w:rPr>
                <w:rStyle w:val="Hyperlink"/>
                <w:rFonts w:ascii="Verdana" w:hAnsi="Verdana" w:cs="Arial"/>
                <w:sz w:val="18"/>
                <w:szCs w:val="18"/>
              </w:rPr>
              <w:t xml:space="preserve"> (A.A.C. R18-7)</w:t>
            </w:r>
          </w:p>
          <w:p w:rsidR="002F2B4F" w:rsidRDefault="00A43238" w:rsidP="001316D0">
            <w:pPr>
              <w:numPr>
                <w:ilvl w:val="0"/>
                <w:numId w:val="2"/>
              </w:numPr>
              <w:rPr>
                <w:rFonts w:ascii="Verdana" w:hAnsi="Verdana" w:cs="Arial"/>
                <w:sz w:val="18"/>
                <w:szCs w:val="18"/>
              </w:rPr>
            </w:pPr>
            <w:hyperlink r:id="rId21" w:history="1">
              <w:r w:rsidR="00B808CB" w:rsidRPr="002F2B4F">
                <w:rPr>
                  <w:rStyle w:val="Hyperlink"/>
                  <w:rFonts w:ascii="Verdana" w:hAnsi="Verdana" w:cs="Arial"/>
                  <w:sz w:val="18"/>
                  <w:szCs w:val="18"/>
                </w:rPr>
                <w:t>Exemptions</w:t>
              </w:r>
              <w:r w:rsidR="00607746" w:rsidRPr="002F2B4F">
                <w:rPr>
                  <w:rStyle w:val="Hyperlink"/>
                  <w:rFonts w:ascii="Verdana" w:hAnsi="Verdana" w:cs="Arial"/>
                  <w:sz w:val="18"/>
                  <w:szCs w:val="18"/>
                </w:rPr>
                <w:t xml:space="preserve"> A.R.S. 49-250</w:t>
              </w:r>
            </w:hyperlink>
            <w:r w:rsidR="00B808CB">
              <w:rPr>
                <w:rFonts w:ascii="Verdana" w:hAnsi="Verdana" w:cs="Arial"/>
                <w:sz w:val="18"/>
                <w:szCs w:val="18"/>
              </w:rPr>
              <w:t xml:space="preserve"> </w:t>
            </w:r>
          </w:p>
          <w:p w:rsidR="00607746" w:rsidRPr="00340F68" w:rsidRDefault="000A2189" w:rsidP="002E17C4">
            <w:pPr>
              <w:numPr>
                <w:ilvl w:val="0"/>
                <w:numId w:val="2"/>
              </w:numPr>
              <w:rPr>
                <w:rFonts w:ascii="Verdana" w:hAnsi="Verdana" w:cs="Arial"/>
                <w:sz w:val="18"/>
                <w:szCs w:val="18"/>
              </w:rPr>
            </w:pPr>
            <w:r>
              <w:rPr>
                <w:rFonts w:ascii="Verdana" w:hAnsi="Verdana" w:cs="Arial"/>
                <w:sz w:val="18"/>
                <w:szCs w:val="18"/>
              </w:rPr>
              <w:t>Class e</w:t>
            </w:r>
            <w:r w:rsidR="00607746">
              <w:rPr>
                <w:rFonts w:ascii="Verdana" w:hAnsi="Verdana" w:cs="Arial"/>
                <w:sz w:val="18"/>
                <w:szCs w:val="18"/>
              </w:rPr>
              <w:t xml:space="preserve">xemptions </w:t>
            </w:r>
            <w:r>
              <w:rPr>
                <w:rFonts w:ascii="Verdana" w:hAnsi="Verdana" w:cs="Arial"/>
                <w:sz w:val="18"/>
                <w:szCs w:val="18"/>
              </w:rPr>
              <w:t>(</w:t>
            </w:r>
            <w:hyperlink r:id="rId22" w:history="1">
              <w:r w:rsidR="00607746" w:rsidRPr="002F2B4F">
                <w:rPr>
                  <w:rStyle w:val="Hyperlink"/>
                  <w:rFonts w:ascii="Verdana" w:hAnsi="Verdana" w:cs="Arial"/>
                  <w:sz w:val="18"/>
                  <w:szCs w:val="18"/>
                </w:rPr>
                <w:t>A.A.C. R18-9-103</w:t>
              </w:r>
            </w:hyperlink>
            <w:r>
              <w:rPr>
                <w:rFonts w:ascii="Verdana" w:hAnsi="Verdana" w:cs="Arial"/>
                <w:sz w:val="18"/>
                <w:szCs w:val="18"/>
              </w:rPr>
              <w:t>) and facilities to which APP doesn’t apply (</w:t>
            </w:r>
            <w:hyperlink r:id="rId23" w:history="1">
              <w:r w:rsidRPr="002F2B4F">
                <w:rPr>
                  <w:rStyle w:val="Hyperlink"/>
                  <w:rFonts w:ascii="Verdana" w:hAnsi="Verdana" w:cs="Arial"/>
                  <w:sz w:val="18"/>
                  <w:szCs w:val="18"/>
                </w:rPr>
                <w:t>A.A.C. R18-9-102</w:t>
              </w:r>
            </w:hyperlink>
            <w:r>
              <w:rPr>
                <w:rFonts w:ascii="Verdana" w:hAnsi="Verdana" w:cs="Arial"/>
                <w:sz w:val="18"/>
                <w:szCs w:val="18"/>
              </w:rPr>
              <w:t>)</w:t>
            </w:r>
          </w:p>
        </w:tc>
      </w:tr>
      <w:tr w:rsidR="00607746" w:rsidRPr="00CB065F" w:rsidTr="00B272BC">
        <w:trPr>
          <w:cantSplit/>
          <w:jc w:val="center"/>
        </w:trPr>
        <w:tc>
          <w:tcPr>
            <w:tcW w:w="10930" w:type="dxa"/>
            <w:tcBorders>
              <w:top w:val="single" w:sz="6" w:space="0" w:color="auto"/>
              <w:left w:val="single" w:sz="18" w:space="0" w:color="auto"/>
              <w:bottom w:val="single" w:sz="18" w:space="0" w:color="auto"/>
              <w:right w:val="single" w:sz="18" w:space="0" w:color="auto"/>
            </w:tcBorders>
            <w:vAlign w:val="center"/>
          </w:tcPr>
          <w:p w:rsidR="00607746" w:rsidRDefault="00607746" w:rsidP="00B272BC">
            <w:pPr>
              <w:rPr>
                <w:rFonts w:ascii="Verdana" w:hAnsi="Verdana" w:cs="Arial"/>
                <w:sz w:val="18"/>
                <w:szCs w:val="18"/>
              </w:rPr>
            </w:pPr>
          </w:p>
        </w:tc>
      </w:tr>
    </w:tbl>
    <w:p w:rsidR="00553B67" w:rsidRDefault="00553B67"/>
    <w:p w:rsidR="00553B67" w:rsidRDefault="00553B67"/>
    <w:p w:rsidR="00100911" w:rsidRDefault="00100911">
      <w:r>
        <w:br w:type="page"/>
      </w:r>
    </w:p>
    <w:p w:rsidR="00F14777" w:rsidRDefault="00F14777"/>
    <w:tbl>
      <w:tblPr>
        <w:tblW w:w="1093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00" w:type="dxa"/>
          <w:bottom w:w="14" w:type="dxa"/>
          <w:right w:w="100" w:type="dxa"/>
        </w:tblCellMar>
        <w:tblLook w:val="0000" w:firstRow="0" w:lastRow="0" w:firstColumn="0" w:lastColumn="0" w:noHBand="0" w:noVBand="0"/>
      </w:tblPr>
      <w:tblGrid>
        <w:gridCol w:w="605"/>
        <w:gridCol w:w="10304"/>
        <w:gridCol w:w="21"/>
      </w:tblGrid>
      <w:tr w:rsidR="001D732E" w:rsidTr="009A176C">
        <w:trPr>
          <w:gridAfter w:val="1"/>
          <w:wAfter w:w="21" w:type="dxa"/>
          <w:cantSplit/>
          <w:tblHeader/>
          <w:jc w:val="center"/>
        </w:trPr>
        <w:tc>
          <w:tcPr>
            <w:tcW w:w="10909" w:type="dxa"/>
            <w:gridSpan w:val="2"/>
            <w:tcBorders>
              <w:top w:val="single" w:sz="18" w:space="0" w:color="auto"/>
              <w:left w:val="single" w:sz="18" w:space="0" w:color="auto"/>
              <w:bottom w:val="single" w:sz="6" w:space="0" w:color="auto"/>
              <w:right w:val="single" w:sz="18" w:space="0" w:color="auto"/>
            </w:tcBorders>
            <w:shd w:val="clear" w:color="auto" w:fill="FFFF99"/>
            <w:tcMar>
              <w:top w:w="14" w:type="dxa"/>
              <w:left w:w="58" w:type="dxa"/>
              <w:bottom w:w="14" w:type="dxa"/>
              <w:right w:w="58" w:type="dxa"/>
            </w:tcMar>
            <w:vAlign w:val="center"/>
          </w:tcPr>
          <w:p w:rsidR="001D732E" w:rsidRDefault="00B31575" w:rsidP="003D242C">
            <w:pPr>
              <w:rPr>
                <w:rFonts w:ascii="Arial" w:hAnsi="Arial" w:cs="Arial"/>
                <w:b/>
                <w:bCs/>
              </w:rPr>
            </w:pPr>
            <w:r>
              <w:rPr>
                <w:rFonts w:ascii="Arial" w:hAnsi="Arial" w:cs="Arial"/>
                <w:b/>
                <w:bCs/>
              </w:rPr>
              <w:t>The Hydrology Review Process</w:t>
            </w:r>
          </w:p>
        </w:tc>
      </w:tr>
      <w:tr w:rsidR="001D732E" w:rsidTr="009A176C">
        <w:trPr>
          <w:gridAfter w:val="1"/>
          <w:wAfter w:w="21" w:type="dxa"/>
          <w:cantSplit/>
          <w:tblHeader/>
          <w:jc w:val="center"/>
        </w:trPr>
        <w:tc>
          <w:tcPr>
            <w:tcW w:w="10909" w:type="dxa"/>
            <w:gridSpan w:val="2"/>
            <w:tcBorders>
              <w:top w:val="single" w:sz="12" w:space="0" w:color="auto"/>
              <w:left w:val="single" w:sz="18" w:space="0" w:color="auto"/>
              <w:bottom w:val="single" w:sz="12" w:space="0" w:color="auto"/>
              <w:right w:val="single" w:sz="18" w:space="0" w:color="auto"/>
            </w:tcBorders>
            <w:shd w:val="clear" w:color="auto" w:fill="E6E6E6"/>
            <w:tcMar>
              <w:top w:w="14" w:type="dxa"/>
              <w:left w:w="58" w:type="dxa"/>
              <w:bottom w:w="14" w:type="dxa"/>
              <w:right w:w="58" w:type="dxa"/>
            </w:tcMar>
            <w:vAlign w:val="center"/>
          </w:tcPr>
          <w:p w:rsidR="001D732E" w:rsidRDefault="001D732E" w:rsidP="003D242C">
            <w:pPr>
              <w:jc w:val="center"/>
              <w:rPr>
                <w:rFonts w:ascii="Arial" w:hAnsi="Arial" w:cs="Arial"/>
                <w:sz w:val="16"/>
                <w:szCs w:val="16"/>
              </w:rPr>
            </w:pPr>
          </w:p>
        </w:tc>
      </w:tr>
      <w:tr w:rsidR="001D732E" w:rsidTr="00B3157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jc w:val="center"/>
        </w:trPr>
        <w:tc>
          <w:tcPr>
            <w:tcW w:w="605" w:type="dxa"/>
            <w:vAlign w:val="center"/>
          </w:tcPr>
          <w:p w:rsidR="001D732E" w:rsidRPr="00CB065F" w:rsidRDefault="001D732E" w:rsidP="003D242C">
            <w:pPr>
              <w:jc w:val="center"/>
              <w:rPr>
                <w:rFonts w:ascii="Verdana" w:hAnsi="Verdana" w:cs="Arial"/>
                <w:color w:val="0000FF"/>
                <w:sz w:val="18"/>
                <w:szCs w:val="18"/>
              </w:rPr>
            </w:pPr>
          </w:p>
        </w:tc>
        <w:tc>
          <w:tcPr>
            <w:tcW w:w="10325" w:type="dxa"/>
            <w:gridSpan w:val="2"/>
            <w:tcMar>
              <w:top w:w="14" w:type="dxa"/>
              <w:left w:w="58" w:type="dxa"/>
              <w:bottom w:w="14" w:type="dxa"/>
              <w:right w:w="58" w:type="dxa"/>
            </w:tcMar>
            <w:vAlign w:val="center"/>
          </w:tcPr>
          <w:p w:rsidR="00181A56" w:rsidRPr="00F050CC" w:rsidRDefault="00181A56" w:rsidP="00181A56">
            <w:pPr>
              <w:rPr>
                <w:rFonts w:ascii="Verdana" w:hAnsi="Verdana"/>
                <w:sz w:val="19"/>
                <w:szCs w:val="19"/>
              </w:rPr>
            </w:pPr>
            <w:r w:rsidRPr="00F050CC">
              <w:rPr>
                <w:rFonts w:ascii="Verdana" w:hAnsi="Verdana"/>
                <w:sz w:val="19"/>
                <w:szCs w:val="19"/>
              </w:rPr>
              <w:t>The review process is indicated here for use in evaluating an application for an individual APP.  The process involved for the review of amendments is detailed in a separate section to follow.  This process is provided for informational purposes only.  It is not intended to be binding guidance for the applicant or for department staff.  The requirements of the APP Program are established in Rule and Statute.</w:t>
            </w:r>
          </w:p>
          <w:p w:rsidR="00181A56" w:rsidRPr="00F050CC" w:rsidRDefault="00181A56" w:rsidP="00181A56">
            <w:pPr>
              <w:rPr>
                <w:rFonts w:ascii="Verdana" w:hAnsi="Verdana"/>
                <w:sz w:val="19"/>
                <w:szCs w:val="19"/>
              </w:rPr>
            </w:pPr>
          </w:p>
          <w:p w:rsidR="00181A56" w:rsidRPr="00F050CC" w:rsidRDefault="00303EA8" w:rsidP="00181A56">
            <w:pPr>
              <w:rPr>
                <w:rFonts w:ascii="Verdana" w:hAnsi="Verdana"/>
                <w:sz w:val="19"/>
                <w:szCs w:val="19"/>
              </w:rPr>
            </w:pPr>
            <w:r w:rsidRPr="00F050CC">
              <w:rPr>
                <w:rFonts w:ascii="Verdana" w:hAnsi="Verdana"/>
                <w:sz w:val="19"/>
                <w:szCs w:val="19"/>
              </w:rPr>
              <w:t>Feedback to the applicant regarding application omissions or deficiencies is</w:t>
            </w:r>
            <w:r w:rsidR="00181A56" w:rsidRPr="00F050CC">
              <w:rPr>
                <w:rFonts w:ascii="Verdana" w:hAnsi="Verdana"/>
                <w:sz w:val="19"/>
                <w:szCs w:val="19"/>
              </w:rPr>
              <w:t xml:space="preserve"> communicated under the licensing timeframes rules, based upon documentation transmitted to the project manager upon completion of hydrology reviews.  The steps outlined below assume that adequate information exists to provide scientifically defensible decisions regarding the requirements of the draft APP.  Missing or inadequate information, as well as any questions arising out of the review process, must be transmitted in a comprehensive and timely manner, to comply with the LTF requirements.  As the steps in the hydrology review process are often sequential, the hydrologist may find it useful to indicate to the applicant that the later steps in the process will remain deficiencies pending the outcome of current steps.  Prior to satisfaction of all deficiencies, the hydrologist must not only confirm the satisfaction of the program requirements based upon statute and rule, but must assure that enough information has been provided to complete the fact sheet and all parts of the draft permit.  The final hydrology memo documents that adequate information exists to prepare the draft APP and fact sheet, and that remaining hydrology deficiencies have been satisfied to the extent that the draft permit can be issued.  The final hydrology memo may contain draft permit and fact sheet information, or the hydrologist may simply insert the information into the draft permit outline provided by the project manager.</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sz w:val="19"/>
                <w:szCs w:val="19"/>
              </w:rPr>
            </w:pPr>
            <w:r w:rsidRPr="00F050CC">
              <w:rPr>
                <w:rFonts w:ascii="Verdana" w:hAnsi="Verdana"/>
                <w:b/>
                <w:sz w:val="19"/>
                <w:szCs w:val="19"/>
                <w:u w:val="single"/>
              </w:rPr>
              <w:t>STEPS IN THE HYDROLOGY REVIEW PROCESS</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sz w:val="19"/>
                <w:szCs w:val="19"/>
              </w:rPr>
            </w:pPr>
            <w:r w:rsidRPr="00F050CC">
              <w:rPr>
                <w:rFonts w:ascii="Verdana" w:hAnsi="Verdana"/>
                <w:sz w:val="19"/>
                <w:szCs w:val="19"/>
              </w:rPr>
              <w:t>The following steps are a suggested approach to allow for the completion of the hydrology review in a logical sequence.  The hydrology review may not include all of these steps, and/or follow this exact sequence.  Some hydrology reviews may require additional steps.</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b/>
                <w:sz w:val="19"/>
                <w:szCs w:val="19"/>
                <w:u w:val="single"/>
              </w:rPr>
            </w:pPr>
            <w:r w:rsidRPr="00F050CC">
              <w:rPr>
                <w:rFonts w:ascii="Verdana" w:hAnsi="Verdana"/>
                <w:b/>
                <w:sz w:val="19"/>
                <w:szCs w:val="19"/>
                <w:u w:val="single"/>
              </w:rPr>
              <w:t>Review Submitted Documents</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sz w:val="19"/>
                <w:szCs w:val="19"/>
              </w:rPr>
            </w:pPr>
            <w:r w:rsidRPr="00F050CC">
              <w:rPr>
                <w:rFonts w:ascii="Verdana" w:hAnsi="Verdana"/>
                <w:sz w:val="19"/>
                <w:szCs w:val="19"/>
              </w:rPr>
              <w:t xml:space="preserve">The hydrologist should review all documents submitted with the application.  Engineering related documents should be skimmed for any information that may be relevant to the hydrology-related issues.  The above checklist should be used to determine if all required information has been submitted, and the </w:t>
            </w:r>
            <w:r w:rsidR="00536F32">
              <w:rPr>
                <w:rFonts w:ascii="Verdana" w:hAnsi="Verdana"/>
                <w:sz w:val="19"/>
                <w:szCs w:val="19"/>
              </w:rPr>
              <w:t>comment rows</w:t>
            </w:r>
            <w:r w:rsidRPr="00F050CC">
              <w:rPr>
                <w:rFonts w:ascii="Verdana" w:hAnsi="Verdana"/>
                <w:sz w:val="19"/>
                <w:szCs w:val="19"/>
              </w:rPr>
              <w:t xml:space="preserve"> should be used to provide the location of the information for any necessary retrieval at later times.  Missing and incomplete information should be communicated to the project manager for referral to the applicant as deficiencies.</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sz w:val="19"/>
                <w:szCs w:val="19"/>
              </w:rPr>
            </w:pPr>
            <w:r w:rsidRPr="00F050CC">
              <w:rPr>
                <w:rFonts w:ascii="Verdana" w:hAnsi="Verdana"/>
                <w:b/>
                <w:sz w:val="19"/>
                <w:szCs w:val="19"/>
                <w:u w:val="single"/>
              </w:rPr>
              <w:t>Establish Complete Facilities List</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sz w:val="19"/>
                <w:szCs w:val="19"/>
              </w:rPr>
            </w:pPr>
            <w:r w:rsidRPr="00F050CC">
              <w:rPr>
                <w:rFonts w:ascii="Verdana" w:hAnsi="Verdana"/>
                <w:sz w:val="19"/>
                <w:szCs w:val="19"/>
              </w:rPr>
              <w:t>Although the decision as to which facilities at the site are regulated by the APP program, and how they will be classified, is predominantly a responsibility of the project manager and engineer, without a complete and accurate facilities list, the pollutant management area can not be determined.  The initial work on the project should be planned to provide an early determination of the complete, properly classified facilities list.  Disagreements on the regulatory status of facilities should remain as deficiencies until those disagreements are resolved with the applicant.</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b/>
                <w:sz w:val="19"/>
                <w:szCs w:val="19"/>
                <w:u w:val="single"/>
              </w:rPr>
            </w:pPr>
            <w:r w:rsidRPr="00F050CC">
              <w:rPr>
                <w:rFonts w:ascii="Verdana" w:hAnsi="Verdana"/>
                <w:b/>
                <w:sz w:val="19"/>
                <w:szCs w:val="19"/>
                <w:u w:val="single"/>
              </w:rPr>
              <w:t>Establish Pollutant Management Area</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sz w:val="19"/>
                <w:szCs w:val="19"/>
              </w:rPr>
            </w:pPr>
            <w:r w:rsidRPr="00F050CC">
              <w:rPr>
                <w:rFonts w:ascii="Verdana" w:hAnsi="Verdana"/>
                <w:sz w:val="19"/>
                <w:szCs w:val="19"/>
              </w:rPr>
              <w:t>Based upon the location and layout of regulated facilities, and the location and nature of discharges from those facilities, the applicant must propose the pollutant management area (PMA), as defined in A.R.S. § 49-244(1).  The PMA is defined as the limit projected on the horizontal plane of the area on which pollutants are or will be placed.  If the facility contains more that one discharging activity, the PMA is described by an imaginary line circumscribing the several discharging activities.  The PMA will be used to determine the number and location of points of compliance for the facilities at the site</w:t>
            </w:r>
            <w:r w:rsidR="005710F0">
              <w:rPr>
                <w:rFonts w:ascii="Verdana" w:hAnsi="Verdana"/>
                <w:sz w:val="19"/>
                <w:szCs w:val="19"/>
              </w:rPr>
              <w:t xml:space="preserve">.  </w:t>
            </w:r>
            <w:r w:rsidRPr="00F050CC">
              <w:rPr>
                <w:rFonts w:ascii="Verdana" w:hAnsi="Verdana"/>
                <w:sz w:val="19"/>
                <w:szCs w:val="19"/>
              </w:rPr>
              <w:t>The PMA includes horizontal space taken up by any liner, dike, or other barrier designed to contain pollutants in the facility.</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sz w:val="19"/>
                <w:szCs w:val="19"/>
              </w:rPr>
            </w:pPr>
            <w:r w:rsidRPr="00F050CC">
              <w:rPr>
                <w:rFonts w:ascii="Verdana" w:hAnsi="Verdana"/>
                <w:sz w:val="19"/>
                <w:szCs w:val="19"/>
              </w:rPr>
              <w:t>The definition of “pollutant” is broad, and is defined in A.R.S. § 49-201(29).</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sz w:val="19"/>
                <w:szCs w:val="19"/>
              </w:rPr>
            </w:pPr>
            <w:r w:rsidRPr="00F050CC">
              <w:rPr>
                <w:rFonts w:ascii="Verdana" w:hAnsi="Verdana"/>
                <w:b/>
                <w:sz w:val="19"/>
                <w:szCs w:val="19"/>
                <w:u w:val="single"/>
              </w:rPr>
              <w:t>Establish Discharge Impact Area</w:t>
            </w:r>
            <w:r w:rsidR="005710F0">
              <w:rPr>
                <w:rFonts w:ascii="Verdana" w:hAnsi="Verdana"/>
                <w:b/>
                <w:sz w:val="19"/>
                <w:szCs w:val="19"/>
                <w:u w:val="single"/>
              </w:rPr>
              <w:t xml:space="preserve"> – Per A.R.S § 49-201(13) “Discharge Impact Area” means the potential areal extent of pollutant migration, as projected on the land surface, as the result of a discharge from a facility.”  </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sz w:val="19"/>
                <w:szCs w:val="19"/>
              </w:rPr>
            </w:pPr>
            <w:r w:rsidRPr="00F050CC">
              <w:rPr>
                <w:rFonts w:ascii="Verdana" w:hAnsi="Verdana"/>
                <w:sz w:val="19"/>
                <w:szCs w:val="19"/>
              </w:rPr>
              <w:t>A.A.C. R18-9-A202(8)(xii)</w:t>
            </w:r>
            <w:r w:rsidR="00B81A86">
              <w:rPr>
                <w:rFonts w:ascii="Verdana" w:hAnsi="Verdana"/>
                <w:sz w:val="19"/>
                <w:szCs w:val="19"/>
              </w:rPr>
              <w:t xml:space="preserve"> </w:t>
            </w:r>
            <w:r w:rsidRPr="00F050CC">
              <w:rPr>
                <w:rFonts w:ascii="Verdana" w:hAnsi="Verdana"/>
                <w:sz w:val="19"/>
                <w:szCs w:val="19"/>
              </w:rPr>
              <w:t>require</w:t>
            </w:r>
            <w:r w:rsidR="005710F0">
              <w:rPr>
                <w:rFonts w:ascii="Verdana" w:hAnsi="Verdana"/>
                <w:sz w:val="19"/>
                <w:szCs w:val="19"/>
              </w:rPr>
              <w:t>s</w:t>
            </w:r>
            <w:r w:rsidRPr="00F050CC">
              <w:rPr>
                <w:rFonts w:ascii="Verdana" w:hAnsi="Verdana"/>
                <w:sz w:val="19"/>
                <w:szCs w:val="19"/>
              </w:rPr>
              <w:t xml:space="preserve"> the applicant to provide a map of the discharge impact area (DIA).  A.A.C. R18-9-A202(8)(xiii)</w:t>
            </w:r>
            <w:r w:rsidR="00B81A86">
              <w:rPr>
                <w:rFonts w:ascii="Verdana" w:hAnsi="Verdana"/>
                <w:sz w:val="19"/>
                <w:szCs w:val="19"/>
              </w:rPr>
              <w:t xml:space="preserve"> </w:t>
            </w:r>
            <w:r w:rsidRPr="00F050CC">
              <w:rPr>
                <w:rFonts w:ascii="Verdana" w:hAnsi="Verdana"/>
                <w:sz w:val="19"/>
                <w:szCs w:val="19"/>
              </w:rPr>
              <w:t>require</w:t>
            </w:r>
            <w:r w:rsidR="00BE5E39">
              <w:rPr>
                <w:rFonts w:ascii="Verdana" w:hAnsi="Verdana"/>
                <w:sz w:val="19"/>
                <w:szCs w:val="19"/>
              </w:rPr>
              <w:t>s</w:t>
            </w:r>
            <w:r w:rsidRPr="00F050CC">
              <w:rPr>
                <w:rFonts w:ascii="Verdana" w:hAnsi="Verdana"/>
                <w:sz w:val="19"/>
                <w:szCs w:val="19"/>
              </w:rPr>
              <w:t xml:space="preserve"> a description of the criteria and methodologies used to determine the DIA.</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sz w:val="19"/>
                <w:szCs w:val="19"/>
              </w:rPr>
            </w:pPr>
            <w:r w:rsidRPr="00F050CC">
              <w:rPr>
                <w:rFonts w:ascii="Verdana" w:hAnsi="Verdana"/>
                <w:sz w:val="19"/>
                <w:szCs w:val="19"/>
              </w:rPr>
              <w:t xml:space="preserve">The DIA </w:t>
            </w:r>
            <w:r w:rsidR="00F677A1">
              <w:rPr>
                <w:rFonts w:ascii="Verdana" w:hAnsi="Verdana"/>
                <w:sz w:val="19"/>
                <w:szCs w:val="19"/>
              </w:rPr>
              <w:t xml:space="preserve">provides </w:t>
            </w:r>
            <w:r w:rsidRPr="00F050CC">
              <w:rPr>
                <w:rFonts w:ascii="Verdana" w:hAnsi="Verdana"/>
                <w:sz w:val="19"/>
                <w:szCs w:val="19"/>
              </w:rPr>
              <w:t xml:space="preserve">an understanding of the extent and degree of contamination to be expected in the aquifers underlying the site, and in the vadose zone, as a result of the proposed discharge activities at the site.  In this way, the conditions and requirements of the permit can be developed to protect </w:t>
            </w:r>
            <w:r w:rsidR="00F677A1">
              <w:rPr>
                <w:rFonts w:ascii="Verdana" w:hAnsi="Verdana"/>
                <w:sz w:val="19"/>
                <w:szCs w:val="19"/>
              </w:rPr>
              <w:t xml:space="preserve">down-gradient users.  </w:t>
            </w:r>
            <w:r w:rsidRPr="00F050CC">
              <w:rPr>
                <w:rFonts w:ascii="Verdana" w:hAnsi="Verdana"/>
                <w:sz w:val="19"/>
                <w:szCs w:val="19"/>
              </w:rPr>
              <w:t xml:space="preserve">The DIA will often include a fate and transport analysis that must be evaluated by the hydrologist.  The discharge must not cause or contribute to a violation of an aquifer water quality standard (AWQS) at the point of compliance, or if an AWQS is already exceeded at the time of permit issuance, the discharge may not cause additional degradation relative to that pollutant at the applicable point of compliance.  </w:t>
            </w:r>
          </w:p>
          <w:p w:rsidR="00181A56" w:rsidRPr="00F050CC" w:rsidRDefault="00181A56" w:rsidP="00181A56">
            <w:pPr>
              <w:rPr>
                <w:rFonts w:ascii="Verdana" w:hAnsi="Verdana"/>
                <w:sz w:val="19"/>
                <w:szCs w:val="19"/>
              </w:rPr>
            </w:pPr>
          </w:p>
          <w:p w:rsidR="00181A56" w:rsidRPr="00F050CC" w:rsidRDefault="00F677A1" w:rsidP="00181A56">
            <w:pPr>
              <w:rPr>
                <w:rFonts w:ascii="Verdana" w:hAnsi="Verdana"/>
                <w:sz w:val="19"/>
                <w:szCs w:val="19"/>
              </w:rPr>
            </w:pPr>
            <w:r>
              <w:rPr>
                <w:rFonts w:ascii="Verdana" w:hAnsi="Verdana"/>
                <w:b/>
                <w:sz w:val="19"/>
                <w:szCs w:val="19"/>
                <w:u w:val="single"/>
              </w:rPr>
              <w:t>Groundwater Uses</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sz w:val="19"/>
                <w:szCs w:val="19"/>
              </w:rPr>
            </w:pPr>
            <w:r w:rsidRPr="00F050CC">
              <w:rPr>
                <w:rFonts w:ascii="Verdana" w:hAnsi="Verdana"/>
                <w:sz w:val="19"/>
                <w:szCs w:val="19"/>
              </w:rPr>
              <w:t xml:space="preserve">The requirements of A.A.C. R18-9-A202(A)(1) include that the applicant submit the known use of adjacent properties, all known water well locations found within one-half mile of the facility and a description of well construction details and uses, if known.  This information and information regarding the DIA, PMA and discharge characterization should be used by the hydrologist to evaluate whether any </w:t>
            </w:r>
            <w:r w:rsidR="00F677A1">
              <w:rPr>
                <w:rFonts w:ascii="Verdana" w:hAnsi="Verdana"/>
                <w:sz w:val="19"/>
                <w:szCs w:val="19"/>
              </w:rPr>
              <w:t>groundwater users</w:t>
            </w:r>
            <w:r w:rsidRPr="00F050CC">
              <w:rPr>
                <w:rFonts w:ascii="Verdana" w:hAnsi="Verdana"/>
                <w:sz w:val="19"/>
                <w:szCs w:val="19"/>
              </w:rPr>
              <w:t xml:space="preserve"> are located nearby. These </w:t>
            </w:r>
            <w:r w:rsidR="00F677A1">
              <w:rPr>
                <w:rFonts w:ascii="Verdana" w:hAnsi="Verdana"/>
                <w:sz w:val="19"/>
                <w:szCs w:val="19"/>
              </w:rPr>
              <w:t xml:space="preserve">nearby users/uses of wells </w:t>
            </w:r>
            <w:r w:rsidRPr="00F050CC">
              <w:rPr>
                <w:rFonts w:ascii="Verdana" w:hAnsi="Verdana"/>
                <w:sz w:val="19"/>
                <w:szCs w:val="19"/>
              </w:rPr>
              <w:t xml:space="preserve">should also be considered during the establishment of point of compliance (POC) locations.  The Department has the discretion to request an expanded well inventory search depending on the nature of the discharge and potential/known </w:t>
            </w:r>
            <w:r w:rsidR="00F677A1">
              <w:rPr>
                <w:rFonts w:ascii="Verdana" w:hAnsi="Verdana"/>
                <w:sz w:val="19"/>
                <w:szCs w:val="19"/>
              </w:rPr>
              <w:t>uses</w:t>
            </w:r>
            <w:r w:rsidRPr="00F050CC">
              <w:rPr>
                <w:rFonts w:ascii="Verdana" w:hAnsi="Verdana"/>
                <w:sz w:val="19"/>
                <w:szCs w:val="19"/>
              </w:rPr>
              <w:t>.</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sz w:val="19"/>
                <w:szCs w:val="19"/>
              </w:rPr>
            </w:pPr>
            <w:r w:rsidRPr="00F050CC">
              <w:rPr>
                <w:rFonts w:ascii="Verdana" w:hAnsi="Verdana"/>
                <w:b/>
                <w:sz w:val="19"/>
                <w:szCs w:val="19"/>
                <w:u w:val="single"/>
              </w:rPr>
              <w:t>Establish Points of Compliance</w:t>
            </w:r>
          </w:p>
          <w:p w:rsidR="00181A56" w:rsidRPr="00F050CC" w:rsidRDefault="00181A56" w:rsidP="00181A56">
            <w:pPr>
              <w:rPr>
                <w:rFonts w:ascii="Verdana" w:hAnsi="Verdana"/>
                <w:sz w:val="19"/>
                <w:szCs w:val="19"/>
              </w:rPr>
            </w:pPr>
          </w:p>
          <w:p w:rsidR="00893D03" w:rsidRPr="00F050CC" w:rsidRDefault="00181A56" w:rsidP="00181A56">
            <w:pPr>
              <w:rPr>
                <w:rFonts w:ascii="Verdana" w:hAnsi="Verdana"/>
                <w:sz w:val="19"/>
                <w:szCs w:val="19"/>
              </w:rPr>
            </w:pPr>
            <w:r w:rsidRPr="00F050CC">
              <w:rPr>
                <w:rFonts w:ascii="Verdana" w:hAnsi="Verdana"/>
                <w:sz w:val="19"/>
                <w:szCs w:val="19"/>
              </w:rPr>
              <w:t xml:space="preserve">The POC locations should be established in accordance with A.R.S. §49-244.  </w:t>
            </w:r>
            <w:r w:rsidR="00893D03">
              <w:rPr>
                <w:rFonts w:ascii="Verdana" w:hAnsi="Verdana"/>
                <w:sz w:val="19"/>
                <w:szCs w:val="19"/>
              </w:rPr>
              <w:t>F</w:t>
            </w:r>
            <w:r w:rsidRPr="00F050CC">
              <w:rPr>
                <w:rFonts w:ascii="Verdana" w:hAnsi="Verdana"/>
                <w:sz w:val="19"/>
                <w:szCs w:val="19"/>
              </w:rPr>
              <w:t xml:space="preserve">or hazardous </w:t>
            </w:r>
            <w:r w:rsidR="003D0D28">
              <w:rPr>
                <w:rFonts w:ascii="Verdana" w:hAnsi="Verdana"/>
                <w:sz w:val="19"/>
                <w:szCs w:val="19"/>
              </w:rPr>
              <w:t xml:space="preserve">pollutants, the POC is the limit of the pollutant management area (PMA), unless the permittee can demonstrate either 1) that it is technically impracticable or inappropriate considering the likely fate or transport of a pollutant in an aquifer to monitoring at the PMA boundary or 2) the alternative POC will allow installation and operation of the monitoring facilities that are substantially less costly (see A.R.S. </w:t>
            </w:r>
            <w:r w:rsidR="003D0D28" w:rsidRPr="00F050CC">
              <w:rPr>
                <w:rFonts w:ascii="Verdana" w:hAnsi="Verdana"/>
                <w:sz w:val="19"/>
                <w:szCs w:val="19"/>
              </w:rPr>
              <w:t>§ 49-244</w:t>
            </w:r>
            <w:r w:rsidR="003D0D28">
              <w:rPr>
                <w:rFonts w:ascii="Verdana" w:hAnsi="Verdana"/>
                <w:sz w:val="19"/>
                <w:szCs w:val="19"/>
              </w:rPr>
              <w:t>(2)(a-b) for specific details)</w:t>
            </w:r>
            <w:r w:rsidRPr="00F050CC">
              <w:rPr>
                <w:rFonts w:ascii="Verdana" w:hAnsi="Verdana"/>
                <w:sz w:val="19"/>
                <w:szCs w:val="19"/>
              </w:rPr>
              <w:t xml:space="preserve">.  </w:t>
            </w:r>
            <w:r w:rsidR="00AB3D34">
              <w:rPr>
                <w:rFonts w:ascii="Verdana" w:hAnsi="Verdana"/>
                <w:sz w:val="19"/>
                <w:szCs w:val="19"/>
              </w:rPr>
              <w:t xml:space="preserve">POC locations may be identified </w:t>
            </w:r>
            <w:r w:rsidR="003D0D28">
              <w:rPr>
                <w:rFonts w:ascii="Verdana" w:hAnsi="Verdana"/>
                <w:sz w:val="19"/>
                <w:szCs w:val="19"/>
              </w:rPr>
              <w:t>for</w:t>
            </w:r>
            <w:r w:rsidR="00AB3D34">
              <w:rPr>
                <w:rFonts w:ascii="Verdana" w:hAnsi="Verdana"/>
                <w:sz w:val="19"/>
                <w:szCs w:val="19"/>
              </w:rPr>
              <w:t xml:space="preserve"> non-hazardous</w:t>
            </w:r>
            <w:r w:rsidR="003D0D28">
              <w:rPr>
                <w:rFonts w:ascii="Verdana" w:hAnsi="Verdana"/>
                <w:sz w:val="19"/>
                <w:szCs w:val="19"/>
              </w:rPr>
              <w:t xml:space="preserve"> pollutants</w:t>
            </w:r>
            <w:r w:rsidR="00AB3D34">
              <w:rPr>
                <w:rFonts w:ascii="Verdana" w:hAnsi="Verdana"/>
                <w:sz w:val="19"/>
                <w:szCs w:val="19"/>
              </w:rPr>
              <w:t xml:space="preserve"> </w:t>
            </w:r>
            <w:r w:rsidR="003D0D28">
              <w:rPr>
                <w:rFonts w:ascii="Verdana" w:hAnsi="Verdana"/>
                <w:sz w:val="19"/>
                <w:szCs w:val="19"/>
              </w:rPr>
              <w:t>at</w:t>
            </w:r>
            <w:r w:rsidR="00AB3D34">
              <w:rPr>
                <w:rFonts w:ascii="Verdana" w:hAnsi="Verdana"/>
                <w:sz w:val="19"/>
                <w:szCs w:val="19"/>
              </w:rPr>
              <w:t xml:space="preserve"> distances </w:t>
            </w:r>
            <w:r w:rsidR="003D0D28">
              <w:rPr>
                <w:rFonts w:ascii="Verdana" w:hAnsi="Verdana"/>
                <w:sz w:val="19"/>
                <w:szCs w:val="19"/>
              </w:rPr>
              <w:t xml:space="preserve">further down gradient </w:t>
            </w:r>
            <w:r w:rsidR="00AB3D34">
              <w:rPr>
                <w:rFonts w:ascii="Verdana" w:hAnsi="Verdana"/>
                <w:sz w:val="19"/>
                <w:szCs w:val="19"/>
              </w:rPr>
              <w:t>than hazardous POCs</w:t>
            </w:r>
            <w:r w:rsidR="00EA5A9D">
              <w:rPr>
                <w:rFonts w:ascii="Verdana" w:hAnsi="Verdana"/>
                <w:sz w:val="19"/>
                <w:szCs w:val="19"/>
              </w:rPr>
              <w:t>, but must be located as to ensure protection of all current and reasonably foreseeable future uses of the aquifer.</w:t>
            </w:r>
            <w:r w:rsidR="00AB3D34">
              <w:rPr>
                <w:rFonts w:ascii="Verdana" w:hAnsi="Verdana"/>
                <w:sz w:val="19"/>
                <w:szCs w:val="19"/>
              </w:rPr>
              <w:t xml:space="preserve"> </w:t>
            </w:r>
            <w:r w:rsidR="00EA5A9D">
              <w:rPr>
                <w:rFonts w:ascii="Verdana" w:hAnsi="Verdana"/>
                <w:sz w:val="19"/>
                <w:szCs w:val="19"/>
              </w:rPr>
              <w:t>O</w:t>
            </w:r>
            <w:r w:rsidRPr="00F050CC">
              <w:rPr>
                <w:rFonts w:ascii="Verdana" w:hAnsi="Verdana"/>
                <w:sz w:val="19"/>
                <w:szCs w:val="19"/>
              </w:rPr>
              <w:t>ccasional</w:t>
            </w:r>
            <w:r w:rsidR="00EA5A9D">
              <w:rPr>
                <w:rFonts w:ascii="Verdana" w:hAnsi="Verdana"/>
                <w:sz w:val="19"/>
                <w:szCs w:val="19"/>
              </w:rPr>
              <w:t>ly,</w:t>
            </w:r>
            <w:r w:rsidRPr="00F050CC">
              <w:rPr>
                <w:rFonts w:ascii="Verdana" w:hAnsi="Verdana"/>
                <w:sz w:val="19"/>
                <w:szCs w:val="19"/>
              </w:rPr>
              <w:t xml:space="preserve"> POC locations will be identified as “theoretical”</w:t>
            </w:r>
            <w:r w:rsidR="00AB3D34">
              <w:rPr>
                <w:rFonts w:ascii="Verdana" w:hAnsi="Verdana"/>
                <w:sz w:val="19"/>
                <w:szCs w:val="19"/>
              </w:rPr>
              <w:t xml:space="preserve"> or “conceptual”</w:t>
            </w:r>
            <w:r w:rsidRPr="00F050CC">
              <w:rPr>
                <w:rFonts w:ascii="Verdana" w:hAnsi="Verdana"/>
                <w:sz w:val="19"/>
                <w:szCs w:val="19"/>
              </w:rPr>
              <w:t xml:space="preserve"> with no monitoring required.  A.R.S. §49-244 has specific requirements for the establishment of POC locations, including specific documentation required to support the establishment of an alternative point of compliance.  The </w:t>
            </w:r>
            <w:r w:rsidR="00EA5A9D">
              <w:rPr>
                <w:rFonts w:ascii="Verdana" w:hAnsi="Verdana"/>
                <w:sz w:val="19"/>
                <w:szCs w:val="19"/>
              </w:rPr>
              <w:t xml:space="preserve">ADEQ hydrologist has discretion as to </w:t>
            </w:r>
            <w:r w:rsidRPr="00F050CC">
              <w:rPr>
                <w:rFonts w:ascii="Verdana" w:hAnsi="Verdana"/>
                <w:sz w:val="19"/>
                <w:szCs w:val="19"/>
              </w:rPr>
              <w:t xml:space="preserve">the number of POC locations (density) and the exact points along the PMA </w:t>
            </w:r>
            <w:r w:rsidR="00EA5A9D">
              <w:rPr>
                <w:rFonts w:ascii="Verdana" w:hAnsi="Verdana"/>
                <w:sz w:val="19"/>
                <w:szCs w:val="19"/>
              </w:rPr>
              <w:t xml:space="preserve">for </w:t>
            </w:r>
            <w:r w:rsidRPr="00F050CC">
              <w:rPr>
                <w:rFonts w:ascii="Verdana" w:hAnsi="Verdana"/>
                <w:sz w:val="19"/>
                <w:szCs w:val="19"/>
              </w:rPr>
              <w:t>POCs</w:t>
            </w:r>
            <w:r w:rsidR="00EA5A9D">
              <w:rPr>
                <w:rFonts w:ascii="Verdana" w:hAnsi="Verdana"/>
                <w:sz w:val="19"/>
                <w:szCs w:val="19"/>
              </w:rPr>
              <w:t>. The decision</w:t>
            </w:r>
            <w:r w:rsidRPr="00F050CC">
              <w:rPr>
                <w:rFonts w:ascii="Verdana" w:hAnsi="Verdana"/>
                <w:sz w:val="19"/>
                <w:szCs w:val="19"/>
              </w:rPr>
              <w:t xml:space="preserve"> will depend upon site specific conditions, including but not exclusively, the expected pollutants, the location of potential </w:t>
            </w:r>
            <w:r w:rsidR="00AB3D34">
              <w:rPr>
                <w:rFonts w:ascii="Verdana" w:hAnsi="Verdana"/>
                <w:sz w:val="19"/>
                <w:szCs w:val="19"/>
              </w:rPr>
              <w:t>groundwater users and the use of the wells</w:t>
            </w:r>
            <w:r w:rsidRPr="00F050CC">
              <w:rPr>
                <w:rFonts w:ascii="Verdana" w:hAnsi="Verdana"/>
                <w:sz w:val="19"/>
                <w:szCs w:val="19"/>
              </w:rPr>
              <w:t xml:space="preserve">, the uses of the aquifer, the characteristics of the aquifer and the locations of the discharging facilities.  </w:t>
            </w:r>
          </w:p>
          <w:p w:rsidR="00181A56" w:rsidRPr="00F050CC" w:rsidRDefault="00181A56" w:rsidP="00181A56">
            <w:pPr>
              <w:rPr>
                <w:rFonts w:ascii="Verdana" w:hAnsi="Verdana"/>
                <w:sz w:val="19"/>
                <w:szCs w:val="19"/>
              </w:rPr>
            </w:pPr>
            <w:r w:rsidRPr="00F050CC">
              <w:rPr>
                <w:rFonts w:ascii="Verdana" w:hAnsi="Verdana"/>
                <w:b/>
                <w:sz w:val="19"/>
                <w:szCs w:val="19"/>
                <w:u w:val="single"/>
              </w:rPr>
              <w:t>Establish Groundwater Monitoring Program</w:t>
            </w:r>
          </w:p>
          <w:p w:rsidR="00181A56" w:rsidRPr="00F050CC" w:rsidRDefault="00181A56" w:rsidP="00181A56">
            <w:pPr>
              <w:rPr>
                <w:rFonts w:ascii="Verdana" w:hAnsi="Verdana"/>
                <w:sz w:val="19"/>
                <w:szCs w:val="19"/>
              </w:rPr>
            </w:pPr>
          </w:p>
          <w:p w:rsidR="00AB3D34" w:rsidRDefault="00181A56" w:rsidP="00960F9D">
            <w:pPr>
              <w:rPr>
                <w:rFonts w:ascii="Verdana" w:hAnsi="Verdana"/>
                <w:sz w:val="19"/>
                <w:szCs w:val="19"/>
              </w:rPr>
            </w:pPr>
            <w:r w:rsidRPr="00F050CC">
              <w:rPr>
                <w:rFonts w:ascii="Verdana" w:hAnsi="Verdana"/>
                <w:sz w:val="19"/>
                <w:szCs w:val="19"/>
              </w:rPr>
              <w:t xml:space="preserve">The groundwater monitoring program is usually established based upon </w:t>
            </w:r>
            <w:r w:rsidR="00AB3D34">
              <w:rPr>
                <w:rFonts w:ascii="Verdana" w:hAnsi="Verdana"/>
                <w:sz w:val="19"/>
                <w:szCs w:val="19"/>
              </w:rPr>
              <w:t>site/facility specific</w:t>
            </w:r>
            <w:r w:rsidR="00AB3D34" w:rsidRPr="00F050CC">
              <w:rPr>
                <w:rFonts w:ascii="Verdana" w:hAnsi="Verdana"/>
                <w:sz w:val="19"/>
                <w:szCs w:val="19"/>
              </w:rPr>
              <w:t xml:space="preserve"> </w:t>
            </w:r>
            <w:r w:rsidRPr="00F050CC">
              <w:rPr>
                <w:rFonts w:ascii="Verdana" w:hAnsi="Verdana"/>
                <w:sz w:val="19"/>
                <w:szCs w:val="19"/>
              </w:rPr>
              <w:t xml:space="preserve">discharge characterization data received from the applicant.  Particular attention should be </w:t>
            </w:r>
            <w:r w:rsidR="00613D70">
              <w:rPr>
                <w:rFonts w:ascii="Verdana" w:hAnsi="Verdana"/>
                <w:sz w:val="19"/>
                <w:szCs w:val="19"/>
              </w:rPr>
              <w:t>paid</w:t>
            </w:r>
            <w:r w:rsidR="00BB5D35">
              <w:rPr>
                <w:rFonts w:ascii="Verdana" w:hAnsi="Verdana"/>
                <w:sz w:val="19"/>
                <w:szCs w:val="19"/>
              </w:rPr>
              <w:t xml:space="preserve"> </w:t>
            </w:r>
            <w:r w:rsidRPr="00F050CC">
              <w:rPr>
                <w:rFonts w:ascii="Verdana" w:hAnsi="Verdana"/>
                <w:sz w:val="19"/>
                <w:szCs w:val="19"/>
              </w:rPr>
              <w:t>towards those constituents with numeric aquifer water quality standard</w:t>
            </w:r>
            <w:r w:rsidR="00960F9D">
              <w:rPr>
                <w:rFonts w:ascii="Verdana" w:hAnsi="Verdana"/>
                <w:sz w:val="19"/>
                <w:szCs w:val="19"/>
              </w:rPr>
              <w:t xml:space="preserve">s. </w:t>
            </w:r>
          </w:p>
          <w:p w:rsidR="00960F9D" w:rsidRPr="003342DC" w:rsidRDefault="00960F9D" w:rsidP="00960F9D">
            <w:pPr>
              <w:rPr>
                <w:rFonts w:ascii="Verdana" w:hAnsi="Verdana"/>
                <w:sz w:val="19"/>
                <w:szCs w:val="19"/>
              </w:rPr>
            </w:pPr>
          </w:p>
          <w:p w:rsidR="00181A56" w:rsidRPr="00F050CC" w:rsidRDefault="00181A56" w:rsidP="00181A56">
            <w:pPr>
              <w:rPr>
                <w:rFonts w:ascii="Verdana" w:hAnsi="Verdana"/>
                <w:sz w:val="19"/>
                <w:szCs w:val="19"/>
              </w:rPr>
            </w:pPr>
            <w:r w:rsidRPr="00F050CC">
              <w:rPr>
                <w:rFonts w:ascii="Verdana" w:hAnsi="Verdana"/>
                <w:b/>
                <w:sz w:val="19"/>
                <w:szCs w:val="19"/>
                <w:u w:val="single"/>
              </w:rPr>
              <w:t>Establish Criteria for Alert Level and Aquifer Quality Limit Calculations</w:t>
            </w:r>
          </w:p>
          <w:p w:rsidR="00181A56" w:rsidRPr="00F050CC" w:rsidRDefault="00181A56" w:rsidP="00181A56">
            <w:pPr>
              <w:rPr>
                <w:rFonts w:ascii="Verdana" w:hAnsi="Verdana"/>
                <w:sz w:val="19"/>
                <w:szCs w:val="19"/>
              </w:rPr>
            </w:pPr>
          </w:p>
          <w:p w:rsidR="003D50EE" w:rsidRDefault="00181A56" w:rsidP="00181A56">
            <w:pPr>
              <w:rPr>
                <w:rFonts w:ascii="Verdana" w:hAnsi="Verdana"/>
                <w:sz w:val="19"/>
                <w:szCs w:val="19"/>
              </w:rPr>
            </w:pPr>
            <w:r w:rsidRPr="00F050CC">
              <w:rPr>
                <w:rFonts w:ascii="Verdana" w:hAnsi="Verdana"/>
                <w:sz w:val="19"/>
                <w:szCs w:val="19"/>
              </w:rPr>
              <w:t>Due to the step-wise nature of the hydrology review and approval process, it is rare for an applicant to have ambient data from the selected POC locations available for review with the initially submitted application.  The ambient groundwater monitoring will typically be performed after issuance of the permit, based upon compliance schedule requirements.  The alert level (AL) calculations are typically done based upon the results of a minimum of eight</w:t>
            </w:r>
            <w:r w:rsidR="003D50EE">
              <w:rPr>
                <w:rFonts w:ascii="Verdana" w:hAnsi="Verdana"/>
                <w:sz w:val="19"/>
                <w:szCs w:val="19"/>
              </w:rPr>
              <w:t xml:space="preserve"> </w:t>
            </w:r>
            <w:r w:rsidR="00F87E52">
              <w:rPr>
                <w:rFonts w:ascii="Verdana" w:hAnsi="Verdana"/>
                <w:sz w:val="19"/>
                <w:szCs w:val="19"/>
              </w:rPr>
              <w:t xml:space="preserve">(8) </w:t>
            </w:r>
            <w:r w:rsidR="003D50EE">
              <w:rPr>
                <w:rFonts w:ascii="Verdana" w:hAnsi="Verdana"/>
                <w:sz w:val="19"/>
                <w:szCs w:val="19"/>
              </w:rPr>
              <w:t>and maximum of twelve</w:t>
            </w:r>
            <w:r w:rsidR="00F87E52">
              <w:rPr>
                <w:rFonts w:ascii="Verdana" w:hAnsi="Verdana"/>
                <w:sz w:val="19"/>
                <w:szCs w:val="19"/>
              </w:rPr>
              <w:t xml:space="preserve"> (12)</w:t>
            </w:r>
            <w:r w:rsidRPr="00F050CC">
              <w:rPr>
                <w:rFonts w:ascii="Verdana" w:hAnsi="Verdana"/>
                <w:sz w:val="19"/>
                <w:szCs w:val="19"/>
              </w:rPr>
              <w:t xml:space="preserve"> groundwater sampling rounds.  The</w:t>
            </w:r>
            <w:r w:rsidR="003D50EE">
              <w:rPr>
                <w:rFonts w:ascii="Verdana" w:hAnsi="Verdana"/>
                <w:sz w:val="19"/>
                <w:szCs w:val="19"/>
              </w:rPr>
              <w:t xml:space="preserve"> following</w:t>
            </w:r>
            <w:r w:rsidRPr="00F050CC">
              <w:rPr>
                <w:rFonts w:ascii="Verdana" w:hAnsi="Verdana"/>
                <w:sz w:val="19"/>
                <w:szCs w:val="19"/>
              </w:rPr>
              <w:t xml:space="preserve"> procedures</w:t>
            </w:r>
            <w:r w:rsidR="003D50EE">
              <w:rPr>
                <w:rFonts w:ascii="Verdana" w:hAnsi="Verdana"/>
                <w:sz w:val="19"/>
                <w:szCs w:val="19"/>
              </w:rPr>
              <w:t xml:space="preserve"> and permit language</w:t>
            </w:r>
            <w:r w:rsidRPr="00F050CC">
              <w:rPr>
                <w:rFonts w:ascii="Verdana" w:hAnsi="Verdana"/>
                <w:sz w:val="19"/>
                <w:szCs w:val="19"/>
              </w:rPr>
              <w:t xml:space="preserve"> for establishing alert levels and aquifer quality limits (AQLs) </w:t>
            </w:r>
            <w:r w:rsidR="003D50EE">
              <w:rPr>
                <w:rFonts w:ascii="Verdana" w:hAnsi="Verdana"/>
                <w:sz w:val="19"/>
                <w:szCs w:val="19"/>
              </w:rPr>
              <w:t>have been used in the past for various</w:t>
            </w:r>
            <w:r w:rsidR="003D50EE" w:rsidRPr="00F050CC">
              <w:rPr>
                <w:rFonts w:ascii="Verdana" w:hAnsi="Verdana"/>
                <w:sz w:val="19"/>
                <w:szCs w:val="19"/>
              </w:rPr>
              <w:t xml:space="preserve"> </w:t>
            </w:r>
            <w:r w:rsidRPr="00F050CC">
              <w:rPr>
                <w:rFonts w:ascii="Verdana" w:hAnsi="Verdana"/>
                <w:sz w:val="19"/>
                <w:szCs w:val="19"/>
              </w:rPr>
              <w:t>mining permits</w:t>
            </w:r>
            <w:r w:rsidR="003D50EE">
              <w:rPr>
                <w:rFonts w:ascii="Verdana" w:hAnsi="Verdana"/>
                <w:sz w:val="19"/>
                <w:szCs w:val="19"/>
              </w:rPr>
              <w:t>:</w:t>
            </w:r>
          </w:p>
          <w:p w:rsidR="003D50EE" w:rsidRDefault="003D50EE" w:rsidP="00181A56">
            <w:pPr>
              <w:rPr>
                <w:rFonts w:ascii="Verdana" w:hAnsi="Verdana"/>
                <w:sz w:val="19"/>
                <w:szCs w:val="19"/>
              </w:rPr>
            </w:pPr>
          </w:p>
          <w:p w:rsidR="003D50EE" w:rsidRPr="003D50EE" w:rsidRDefault="003D50EE" w:rsidP="003342DC">
            <w:pPr>
              <w:tabs>
                <w:tab w:val="left" w:pos="1443"/>
              </w:tabs>
              <w:rPr>
                <w:rFonts w:ascii="Verdana" w:hAnsi="Verdana"/>
                <w:b/>
                <w:sz w:val="19"/>
                <w:szCs w:val="19"/>
              </w:rPr>
            </w:pPr>
            <w:r w:rsidRPr="003D50EE">
              <w:rPr>
                <w:rFonts w:ascii="Verdana" w:hAnsi="Verdana"/>
                <w:b/>
                <w:sz w:val="19"/>
                <w:szCs w:val="19"/>
              </w:rPr>
              <w:t>Alert Levels for POC Wells</w:t>
            </w:r>
          </w:p>
          <w:p w:rsidR="003D50EE" w:rsidRPr="003D50EE" w:rsidRDefault="003D50EE" w:rsidP="003342DC">
            <w:pPr>
              <w:tabs>
                <w:tab w:val="left" w:pos="1431"/>
              </w:tabs>
              <w:rPr>
                <w:rFonts w:ascii="Verdana" w:hAnsi="Verdana"/>
                <w:sz w:val="19"/>
                <w:szCs w:val="19"/>
              </w:rPr>
            </w:pPr>
            <w:r w:rsidRPr="003D50EE">
              <w:rPr>
                <w:rFonts w:ascii="Verdana" w:hAnsi="Verdana"/>
                <w:sz w:val="19"/>
                <w:szCs w:val="19"/>
              </w:rPr>
              <w:t xml:space="preserve">The AQLs and ALs </w:t>
            </w:r>
            <w:r w:rsidR="00F87E52">
              <w:rPr>
                <w:rFonts w:ascii="Verdana" w:hAnsi="Verdana"/>
                <w:sz w:val="19"/>
                <w:szCs w:val="19"/>
              </w:rPr>
              <w:t>are</w:t>
            </w:r>
            <w:r w:rsidRPr="003D50EE">
              <w:rPr>
                <w:rFonts w:ascii="Verdana" w:hAnsi="Verdana"/>
                <w:sz w:val="19"/>
                <w:szCs w:val="19"/>
              </w:rPr>
              <w:t xml:space="preserve"> established and calculated by the following formula or another valid statistical method submitted to the Groundwater Section (GWS) in writing and approved for this permit by the GWS:</w:t>
            </w:r>
          </w:p>
          <w:p w:rsidR="003D50EE" w:rsidRPr="003D50EE" w:rsidRDefault="003D50EE" w:rsidP="003D50EE">
            <w:pPr>
              <w:rPr>
                <w:rFonts w:ascii="Verdana" w:hAnsi="Verdana"/>
                <w:sz w:val="19"/>
                <w:szCs w:val="19"/>
              </w:rPr>
            </w:pPr>
          </w:p>
          <w:p w:rsidR="003D50EE" w:rsidRPr="003D50EE" w:rsidRDefault="003D50EE" w:rsidP="003D50EE">
            <w:pPr>
              <w:rPr>
                <w:rFonts w:ascii="Verdana" w:hAnsi="Verdana"/>
                <w:sz w:val="19"/>
                <w:szCs w:val="19"/>
              </w:rPr>
            </w:pPr>
            <w:r w:rsidRPr="003D50EE">
              <w:rPr>
                <w:rFonts w:ascii="Verdana" w:hAnsi="Verdana"/>
                <w:sz w:val="19"/>
                <w:szCs w:val="19"/>
              </w:rPr>
              <w:t>AL = M + K</w:t>
            </w:r>
            <w:r w:rsidRPr="003D50EE">
              <w:rPr>
                <w:rFonts w:ascii="Verdana" w:hAnsi="Verdana"/>
                <w:sz w:val="19"/>
                <w:szCs w:val="19"/>
              </w:rPr>
              <w:sym w:font="WP Greek Courier" w:char="F046"/>
            </w:r>
          </w:p>
          <w:p w:rsidR="003D50EE" w:rsidRPr="003D50EE" w:rsidRDefault="003D50EE" w:rsidP="003D50EE">
            <w:pPr>
              <w:rPr>
                <w:rFonts w:ascii="Verdana" w:hAnsi="Verdana"/>
                <w:sz w:val="19"/>
                <w:szCs w:val="19"/>
              </w:rPr>
            </w:pPr>
          </w:p>
          <w:p w:rsidR="003D50EE" w:rsidRPr="003D50EE" w:rsidRDefault="003D50EE" w:rsidP="003D50EE">
            <w:pPr>
              <w:rPr>
                <w:rFonts w:ascii="Verdana" w:hAnsi="Verdana"/>
                <w:sz w:val="19"/>
                <w:szCs w:val="19"/>
              </w:rPr>
            </w:pPr>
            <w:r w:rsidRPr="003D50EE">
              <w:rPr>
                <w:rFonts w:ascii="Verdana" w:hAnsi="Verdana"/>
                <w:sz w:val="19"/>
                <w:szCs w:val="19"/>
              </w:rPr>
              <w:t xml:space="preserve">Where M = mean, </w:t>
            </w:r>
            <w:r w:rsidRPr="003D50EE">
              <w:rPr>
                <w:rFonts w:ascii="Verdana" w:hAnsi="Verdana"/>
                <w:sz w:val="19"/>
                <w:szCs w:val="19"/>
              </w:rPr>
              <w:sym w:font="WP Greek Courier" w:char="F046"/>
            </w:r>
            <w:r w:rsidRPr="003D50EE">
              <w:rPr>
                <w:rFonts w:ascii="Verdana" w:hAnsi="Verdana"/>
                <w:sz w:val="19"/>
                <w:szCs w:val="19"/>
              </w:rPr>
              <w:t xml:space="preserve"> = standard deviation, and K = one-sided normal tolerance interval with a 95% confidence level (Lieberman, G.J. (1958) Tables for One-sided Statistical Tolerance Limits: Industrial Quality Control, Vol. XIV, No. 10).  Obvious outliers should be excluded from the data used in the AL calculation.</w:t>
            </w:r>
          </w:p>
          <w:p w:rsidR="003D50EE" w:rsidRPr="003D50EE" w:rsidRDefault="003D50EE" w:rsidP="003D50EE">
            <w:pPr>
              <w:rPr>
                <w:rFonts w:ascii="Verdana" w:hAnsi="Verdana"/>
                <w:sz w:val="19"/>
                <w:szCs w:val="19"/>
              </w:rPr>
            </w:pPr>
          </w:p>
          <w:p w:rsidR="003D50EE" w:rsidRPr="003D50EE" w:rsidRDefault="003D50EE" w:rsidP="003D50EE">
            <w:pPr>
              <w:rPr>
                <w:rFonts w:ascii="Verdana" w:hAnsi="Verdana"/>
                <w:sz w:val="19"/>
                <w:szCs w:val="19"/>
              </w:rPr>
            </w:pPr>
            <w:r w:rsidRPr="003D50EE">
              <w:rPr>
                <w:rFonts w:ascii="Verdana" w:hAnsi="Verdana"/>
                <w:sz w:val="19"/>
                <w:szCs w:val="19"/>
              </w:rPr>
              <w:t>The following criteria shall be met in establishing ALs in the permit:</w:t>
            </w:r>
          </w:p>
          <w:p w:rsidR="003D50EE" w:rsidRPr="003D50EE" w:rsidRDefault="003D50EE" w:rsidP="003D50EE">
            <w:pPr>
              <w:rPr>
                <w:rFonts w:ascii="Verdana" w:hAnsi="Verdana"/>
                <w:sz w:val="19"/>
                <w:szCs w:val="19"/>
              </w:rPr>
            </w:pPr>
          </w:p>
          <w:p w:rsidR="003D50EE" w:rsidRPr="003D50EE" w:rsidRDefault="003D50EE" w:rsidP="003D50EE">
            <w:pPr>
              <w:numPr>
                <w:ilvl w:val="0"/>
                <w:numId w:val="3"/>
              </w:numPr>
              <w:rPr>
                <w:rFonts w:ascii="Verdana" w:hAnsi="Verdana"/>
                <w:sz w:val="19"/>
                <w:szCs w:val="19"/>
              </w:rPr>
            </w:pPr>
            <w:r w:rsidRPr="003D50EE">
              <w:rPr>
                <w:rFonts w:ascii="Verdana" w:hAnsi="Verdana"/>
                <w:sz w:val="19"/>
                <w:szCs w:val="19"/>
              </w:rPr>
              <w:t xml:space="preserve">The AL </w:t>
            </w:r>
            <w:r w:rsidR="00F87E52">
              <w:rPr>
                <w:rFonts w:ascii="Verdana" w:hAnsi="Verdana"/>
                <w:sz w:val="19"/>
                <w:szCs w:val="19"/>
              </w:rPr>
              <w:t>is</w:t>
            </w:r>
            <w:r w:rsidRPr="003D50EE">
              <w:rPr>
                <w:rFonts w:ascii="Verdana" w:hAnsi="Verdana"/>
                <w:sz w:val="19"/>
                <w:szCs w:val="19"/>
              </w:rPr>
              <w:t xml:space="preserve"> calculated for a parameter using the analyses from eight (8) consecutive sample rounds.</w:t>
            </w:r>
          </w:p>
          <w:p w:rsidR="003D50EE" w:rsidRPr="003D50EE" w:rsidRDefault="003D50EE" w:rsidP="003D50EE">
            <w:pPr>
              <w:numPr>
                <w:ilvl w:val="0"/>
                <w:numId w:val="3"/>
              </w:numPr>
              <w:rPr>
                <w:rFonts w:ascii="Verdana" w:hAnsi="Verdana"/>
                <w:sz w:val="19"/>
                <w:szCs w:val="19"/>
              </w:rPr>
            </w:pPr>
            <w:r w:rsidRPr="003D50EE">
              <w:rPr>
                <w:rFonts w:ascii="Verdana" w:hAnsi="Verdana"/>
                <w:sz w:val="19"/>
                <w:szCs w:val="19"/>
              </w:rPr>
              <w:t xml:space="preserve">Any data where the PQL exceeds 80% of the AWQS </w:t>
            </w:r>
            <w:r w:rsidR="00F87E52">
              <w:rPr>
                <w:rFonts w:ascii="Verdana" w:hAnsi="Verdana"/>
                <w:sz w:val="19"/>
                <w:szCs w:val="19"/>
              </w:rPr>
              <w:t>is</w:t>
            </w:r>
            <w:r w:rsidRPr="003D50EE">
              <w:rPr>
                <w:rFonts w:ascii="Verdana" w:hAnsi="Verdana"/>
                <w:sz w:val="19"/>
                <w:szCs w:val="19"/>
              </w:rPr>
              <w:t xml:space="preserve"> not included in the AL calculation.</w:t>
            </w:r>
          </w:p>
          <w:p w:rsidR="003D50EE" w:rsidRPr="003D50EE" w:rsidRDefault="003D50EE" w:rsidP="003D50EE">
            <w:pPr>
              <w:numPr>
                <w:ilvl w:val="0"/>
                <w:numId w:val="3"/>
              </w:numPr>
              <w:tabs>
                <w:tab w:val="left" w:pos="2520"/>
              </w:tabs>
              <w:rPr>
                <w:rFonts w:ascii="Verdana" w:hAnsi="Verdana"/>
                <w:sz w:val="19"/>
                <w:szCs w:val="19"/>
              </w:rPr>
            </w:pPr>
            <w:r w:rsidRPr="003D50EE">
              <w:rPr>
                <w:rFonts w:ascii="Verdana" w:hAnsi="Verdana"/>
                <w:sz w:val="19"/>
                <w:szCs w:val="19"/>
              </w:rPr>
              <w:t>If a parameter is below the detection limit, the permittee must report the value as “less than” the numeric value for the PQL or detection limit for the parameter, not just as “non-detect”.  For those parameters, the permittee use</w:t>
            </w:r>
            <w:r w:rsidR="00F87E52">
              <w:rPr>
                <w:rFonts w:ascii="Verdana" w:hAnsi="Verdana"/>
                <w:sz w:val="19"/>
                <w:szCs w:val="19"/>
              </w:rPr>
              <w:t>s</w:t>
            </w:r>
            <w:r w:rsidRPr="003D50EE">
              <w:rPr>
                <w:rFonts w:ascii="Verdana" w:hAnsi="Verdana"/>
                <w:sz w:val="19"/>
                <w:szCs w:val="19"/>
              </w:rPr>
              <w:t xml:space="preserve"> a value of one-half the reported detection limit for the AL calculation.</w:t>
            </w:r>
          </w:p>
          <w:p w:rsidR="003D50EE" w:rsidRPr="003D50EE" w:rsidRDefault="003D50EE" w:rsidP="003D50EE">
            <w:pPr>
              <w:numPr>
                <w:ilvl w:val="0"/>
                <w:numId w:val="3"/>
              </w:numPr>
              <w:rPr>
                <w:rFonts w:ascii="Verdana" w:hAnsi="Verdana"/>
                <w:sz w:val="19"/>
                <w:szCs w:val="19"/>
              </w:rPr>
            </w:pPr>
            <w:r w:rsidRPr="003D50EE">
              <w:rPr>
                <w:rFonts w:ascii="Verdana" w:hAnsi="Verdana"/>
                <w:sz w:val="19"/>
                <w:szCs w:val="19"/>
              </w:rPr>
              <w:t xml:space="preserve">If the analytical results from more than 50% of the samples for a specific parameter are non-detect, then the AL </w:t>
            </w:r>
            <w:r w:rsidR="00F87E52">
              <w:rPr>
                <w:rFonts w:ascii="Verdana" w:hAnsi="Verdana"/>
                <w:sz w:val="19"/>
                <w:szCs w:val="19"/>
              </w:rPr>
              <w:t>is</w:t>
            </w:r>
            <w:r w:rsidRPr="003D50EE">
              <w:rPr>
                <w:rFonts w:ascii="Verdana" w:hAnsi="Verdana"/>
                <w:sz w:val="19"/>
                <w:szCs w:val="19"/>
              </w:rPr>
              <w:t xml:space="preserve"> set at 80% of the AWQS.</w:t>
            </w:r>
          </w:p>
          <w:p w:rsidR="003D50EE" w:rsidRPr="003D50EE" w:rsidRDefault="003D50EE" w:rsidP="003D50EE">
            <w:pPr>
              <w:numPr>
                <w:ilvl w:val="0"/>
                <w:numId w:val="3"/>
              </w:numPr>
              <w:rPr>
                <w:rFonts w:ascii="Verdana" w:hAnsi="Verdana"/>
                <w:sz w:val="19"/>
                <w:szCs w:val="19"/>
              </w:rPr>
            </w:pPr>
            <w:r w:rsidRPr="003D50EE">
              <w:rPr>
                <w:rFonts w:ascii="Verdana" w:hAnsi="Verdana"/>
                <w:sz w:val="19"/>
                <w:szCs w:val="19"/>
              </w:rPr>
              <w:t xml:space="preserve">If the calculated AL for a specific constituent and well is less than 80% of the AWQS, the AL </w:t>
            </w:r>
            <w:r w:rsidR="00F87E52">
              <w:rPr>
                <w:rFonts w:ascii="Verdana" w:hAnsi="Verdana"/>
                <w:sz w:val="19"/>
                <w:szCs w:val="19"/>
              </w:rPr>
              <w:t>is</w:t>
            </w:r>
            <w:r w:rsidRPr="003D50EE">
              <w:rPr>
                <w:rFonts w:ascii="Verdana" w:hAnsi="Verdana"/>
                <w:sz w:val="19"/>
                <w:szCs w:val="19"/>
              </w:rPr>
              <w:t xml:space="preserve"> set at 80% of the AWQS for that constituent in that well.</w:t>
            </w:r>
          </w:p>
          <w:p w:rsidR="003D50EE" w:rsidRPr="003D50EE" w:rsidRDefault="003D50EE" w:rsidP="003D50EE">
            <w:pPr>
              <w:rPr>
                <w:rFonts w:ascii="Verdana" w:hAnsi="Verdana"/>
                <w:b/>
                <w:sz w:val="19"/>
                <w:szCs w:val="19"/>
              </w:rPr>
            </w:pPr>
          </w:p>
          <w:p w:rsidR="003D50EE" w:rsidRPr="003D50EE" w:rsidRDefault="003D50EE" w:rsidP="003D50EE">
            <w:pPr>
              <w:rPr>
                <w:rFonts w:ascii="Verdana" w:hAnsi="Verdana"/>
                <w:b/>
                <w:sz w:val="19"/>
                <w:szCs w:val="19"/>
              </w:rPr>
            </w:pPr>
            <w:r w:rsidRPr="003D50EE">
              <w:rPr>
                <w:rFonts w:ascii="Verdana" w:hAnsi="Verdana"/>
                <w:b/>
                <w:sz w:val="19"/>
                <w:szCs w:val="19"/>
              </w:rPr>
              <w:t>Aquifer Quality Limits for POC Well</w:t>
            </w:r>
          </w:p>
          <w:p w:rsidR="003D50EE" w:rsidRPr="003D50EE" w:rsidRDefault="003D50EE" w:rsidP="003D50EE">
            <w:pPr>
              <w:rPr>
                <w:rFonts w:ascii="Verdana" w:hAnsi="Verdana"/>
                <w:sz w:val="19"/>
                <w:szCs w:val="19"/>
              </w:rPr>
            </w:pPr>
            <w:r w:rsidRPr="003D50EE">
              <w:rPr>
                <w:rFonts w:ascii="Verdana" w:hAnsi="Verdana"/>
                <w:sz w:val="19"/>
                <w:szCs w:val="19"/>
              </w:rPr>
              <w:t xml:space="preserve">For each of the monitored analytes for which a numeric AWQS has been adopted, the AQL </w:t>
            </w:r>
            <w:r w:rsidR="00F87E52">
              <w:rPr>
                <w:rFonts w:ascii="Verdana" w:hAnsi="Verdana"/>
                <w:sz w:val="19"/>
                <w:szCs w:val="19"/>
              </w:rPr>
              <w:t>is</w:t>
            </w:r>
            <w:r w:rsidRPr="003D50EE">
              <w:rPr>
                <w:rFonts w:ascii="Verdana" w:hAnsi="Verdana"/>
                <w:sz w:val="19"/>
                <w:szCs w:val="19"/>
              </w:rPr>
              <w:t xml:space="preserve"> established as follows:</w:t>
            </w:r>
          </w:p>
          <w:p w:rsidR="003D50EE" w:rsidRPr="003D50EE" w:rsidRDefault="003D50EE" w:rsidP="003D50EE">
            <w:pPr>
              <w:rPr>
                <w:rFonts w:ascii="Verdana" w:hAnsi="Verdana"/>
                <w:sz w:val="19"/>
                <w:szCs w:val="19"/>
              </w:rPr>
            </w:pPr>
            <w:r w:rsidRPr="003D50EE">
              <w:rPr>
                <w:rFonts w:ascii="Verdana" w:hAnsi="Verdana"/>
                <w:sz w:val="19"/>
                <w:szCs w:val="19"/>
              </w:rPr>
              <w:t>1.</w:t>
            </w:r>
            <w:r w:rsidRPr="003D50EE">
              <w:rPr>
                <w:rFonts w:ascii="Verdana" w:hAnsi="Verdana"/>
                <w:sz w:val="19"/>
                <w:szCs w:val="19"/>
              </w:rPr>
              <w:tab/>
              <w:t xml:space="preserve">If the calculated AL is less than the AWQS, then the AQL </w:t>
            </w:r>
            <w:r w:rsidR="00F87E52">
              <w:rPr>
                <w:rFonts w:ascii="Verdana" w:hAnsi="Verdana"/>
                <w:sz w:val="19"/>
                <w:szCs w:val="19"/>
              </w:rPr>
              <w:t>is</w:t>
            </w:r>
            <w:r w:rsidRPr="003D50EE">
              <w:rPr>
                <w:rFonts w:ascii="Verdana" w:hAnsi="Verdana"/>
                <w:sz w:val="19"/>
                <w:szCs w:val="19"/>
              </w:rPr>
              <w:t xml:space="preserve"> set equal to the AWQS.</w:t>
            </w:r>
          </w:p>
          <w:p w:rsidR="003D50EE" w:rsidRPr="003D50EE" w:rsidRDefault="003D50EE" w:rsidP="003D50EE">
            <w:pPr>
              <w:rPr>
                <w:rFonts w:ascii="Verdana" w:hAnsi="Verdana"/>
                <w:sz w:val="19"/>
                <w:szCs w:val="19"/>
              </w:rPr>
            </w:pPr>
            <w:r w:rsidRPr="003D50EE">
              <w:rPr>
                <w:rFonts w:ascii="Verdana" w:hAnsi="Verdana"/>
                <w:sz w:val="19"/>
                <w:szCs w:val="19"/>
              </w:rPr>
              <w:t>2.</w:t>
            </w:r>
            <w:r w:rsidRPr="003D50EE">
              <w:rPr>
                <w:rFonts w:ascii="Verdana" w:hAnsi="Verdana"/>
                <w:sz w:val="19"/>
                <w:szCs w:val="19"/>
              </w:rPr>
              <w:tab/>
              <w:t xml:space="preserve">If the calculated AL is greater than the AWQS, then the AQL </w:t>
            </w:r>
            <w:r w:rsidR="00F87E52">
              <w:rPr>
                <w:rFonts w:ascii="Verdana" w:hAnsi="Verdana"/>
                <w:sz w:val="19"/>
                <w:szCs w:val="19"/>
              </w:rPr>
              <w:t>is</w:t>
            </w:r>
            <w:r w:rsidRPr="003D50EE">
              <w:rPr>
                <w:rFonts w:ascii="Verdana" w:hAnsi="Verdana"/>
                <w:sz w:val="19"/>
                <w:szCs w:val="19"/>
              </w:rPr>
              <w:t xml:space="preserve"> set equal to the calculated AL value, and no AL shall be set for that constituent at that monitoring point.</w:t>
            </w:r>
          </w:p>
          <w:p w:rsidR="003D50EE" w:rsidRDefault="003D50EE" w:rsidP="003D50EE">
            <w:pPr>
              <w:rPr>
                <w:rFonts w:ascii="Verdana" w:hAnsi="Verdana"/>
                <w:sz w:val="19"/>
                <w:szCs w:val="19"/>
              </w:rPr>
            </w:pPr>
          </w:p>
          <w:p w:rsidR="00DD4532" w:rsidRPr="003D50EE" w:rsidRDefault="00DD4532" w:rsidP="003D50EE">
            <w:pPr>
              <w:rPr>
                <w:rFonts w:ascii="Verdana" w:hAnsi="Verdana"/>
                <w:sz w:val="19"/>
                <w:szCs w:val="19"/>
              </w:rPr>
            </w:pPr>
          </w:p>
          <w:p w:rsidR="003D50EE" w:rsidRPr="003D50EE" w:rsidRDefault="003D50EE" w:rsidP="003D50EE">
            <w:pPr>
              <w:rPr>
                <w:rFonts w:ascii="Verdana" w:hAnsi="Verdana"/>
                <w:sz w:val="19"/>
                <w:szCs w:val="19"/>
              </w:rPr>
            </w:pPr>
            <w:r>
              <w:rPr>
                <w:rFonts w:ascii="Verdana" w:hAnsi="Verdana"/>
                <w:sz w:val="19"/>
                <w:szCs w:val="19"/>
              </w:rPr>
              <w:t xml:space="preserve">The following table was taken from </w:t>
            </w:r>
            <w:r w:rsidRPr="003D50EE">
              <w:rPr>
                <w:rFonts w:ascii="Verdana" w:hAnsi="Verdana"/>
                <w:sz w:val="19"/>
                <w:szCs w:val="19"/>
              </w:rPr>
              <w:t xml:space="preserve">(Lieberman, G.J. (1958) </w:t>
            </w:r>
            <w:r>
              <w:rPr>
                <w:rFonts w:ascii="Verdana" w:hAnsi="Verdana"/>
                <w:sz w:val="19"/>
                <w:szCs w:val="19"/>
              </w:rPr>
              <w:t xml:space="preserve">- </w:t>
            </w:r>
            <w:r w:rsidRPr="003D50EE">
              <w:rPr>
                <w:rFonts w:ascii="Verdana" w:hAnsi="Verdana"/>
                <w:sz w:val="19"/>
                <w:szCs w:val="19"/>
              </w:rPr>
              <w:t>Tolerance Factors (K) for Tolerance Intervals Having a 95 Percent Confidence Level</w:t>
            </w:r>
          </w:p>
          <w:p w:rsidR="003D50EE" w:rsidRPr="003D50EE" w:rsidRDefault="003D50EE" w:rsidP="003D50EE">
            <w:pPr>
              <w:rPr>
                <w:rFonts w:ascii="Verdana" w:hAnsi="Verdana"/>
                <w:b/>
                <w:i/>
                <w:sz w:val="19"/>
                <w:szCs w:val="19"/>
              </w:rPr>
            </w:pPr>
          </w:p>
          <w:tbl>
            <w:tblPr>
              <w:tblStyle w:val="TableGrid"/>
              <w:tblW w:w="0" w:type="auto"/>
              <w:tblInd w:w="2988" w:type="dxa"/>
              <w:tblLayout w:type="fixed"/>
              <w:tblLook w:val="04A0" w:firstRow="1" w:lastRow="0" w:firstColumn="1" w:lastColumn="0" w:noHBand="0" w:noVBand="1"/>
            </w:tblPr>
            <w:tblGrid>
              <w:gridCol w:w="1800"/>
              <w:gridCol w:w="1890"/>
            </w:tblGrid>
            <w:tr w:rsidR="003D50EE" w:rsidRPr="003D50EE" w:rsidTr="00607746">
              <w:tc>
                <w:tcPr>
                  <w:tcW w:w="1800" w:type="dxa"/>
                  <w:tcBorders>
                    <w:bottom w:val="double" w:sz="4" w:space="0" w:color="auto"/>
                  </w:tcBorders>
                </w:tcPr>
                <w:p w:rsidR="003D50EE" w:rsidRPr="003D50EE" w:rsidRDefault="003D50EE" w:rsidP="003D50EE">
                  <w:pPr>
                    <w:rPr>
                      <w:rFonts w:ascii="Verdana" w:hAnsi="Verdana"/>
                      <w:sz w:val="19"/>
                      <w:szCs w:val="19"/>
                    </w:rPr>
                  </w:pPr>
                  <w:r w:rsidRPr="003D50EE">
                    <w:rPr>
                      <w:rFonts w:ascii="Verdana" w:hAnsi="Verdana"/>
                      <w:sz w:val="19"/>
                      <w:szCs w:val="19"/>
                    </w:rPr>
                    <w:t>n</w:t>
                  </w:r>
                </w:p>
              </w:tc>
              <w:tc>
                <w:tcPr>
                  <w:tcW w:w="1890" w:type="dxa"/>
                  <w:tcBorders>
                    <w:bottom w:val="double" w:sz="4" w:space="0" w:color="auto"/>
                  </w:tcBorders>
                </w:tcPr>
                <w:p w:rsidR="003D50EE" w:rsidRPr="003D50EE" w:rsidRDefault="003D50EE" w:rsidP="003D50EE">
                  <w:pPr>
                    <w:rPr>
                      <w:rFonts w:ascii="Verdana" w:hAnsi="Verdana"/>
                      <w:sz w:val="19"/>
                      <w:szCs w:val="19"/>
                    </w:rPr>
                  </w:pPr>
                  <w:r w:rsidRPr="003D50EE">
                    <w:rPr>
                      <w:rFonts w:ascii="Verdana" w:hAnsi="Verdana"/>
                      <w:sz w:val="19"/>
                      <w:szCs w:val="19"/>
                    </w:rPr>
                    <w:t>K</w:t>
                  </w:r>
                </w:p>
              </w:tc>
            </w:tr>
            <w:tr w:rsidR="003D50EE" w:rsidRPr="003D50EE" w:rsidTr="00607746">
              <w:tc>
                <w:tcPr>
                  <w:tcW w:w="1800" w:type="dxa"/>
                  <w:tcBorders>
                    <w:top w:val="double" w:sz="4" w:space="0" w:color="auto"/>
                  </w:tcBorders>
                </w:tcPr>
                <w:p w:rsidR="003D50EE" w:rsidRPr="003D50EE" w:rsidRDefault="003D50EE" w:rsidP="003D50EE">
                  <w:pPr>
                    <w:rPr>
                      <w:rFonts w:ascii="Verdana" w:hAnsi="Verdana"/>
                      <w:sz w:val="19"/>
                      <w:szCs w:val="19"/>
                    </w:rPr>
                  </w:pPr>
                  <w:r w:rsidRPr="003D50EE">
                    <w:rPr>
                      <w:rFonts w:ascii="Verdana" w:hAnsi="Verdana"/>
                      <w:sz w:val="19"/>
                      <w:szCs w:val="19"/>
                    </w:rPr>
                    <w:t>4</w:t>
                  </w:r>
                </w:p>
              </w:tc>
              <w:tc>
                <w:tcPr>
                  <w:tcW w:w="1890" w:type="dxa"/>
                  <w:tcBorders>
                    <w:top w:val="double" w:sz="4" w:space="0" w:color="auto"/>
                  </w:tcBorders>
                </w:tcPr>
                <w:p w:rsidR="003D50EE" w:rsidRPr="003D50EE" w:rsidRDefault="003D50EE" w:rsidP="003D50EE">
                  <w:pPr>
                    <w:rPr>
                      <w:rFonts w:ascii="Verdana" w:hAnsi="Verdana"/>
                      <w:sz w:val="19"/>
                      <w:szCs w:val="19"/>
                    </w:rPr>
                  </w:pPr>
                  <w:r w:rsidRPr="003D50EE">
                    <w:rPr>
                      <w:rFonts w:ascii="Verdana" w:hAnsi="Verdana"/>
                      <w:sz w:val="19"/>
                      <w:szCs w:val="19"/>
                    </w:rPr>
                    <w:t>5.145</w:t>
                  </w:r>
                </w:p>
              </w:tc>
            </w:tr>
            <w:tr w:rsidR="003D50EE" w:rsidRPr="003D50EE" w:rsidTr="00607746">
              <w:tc>
                <w:tcPr>
                  <w:tcW w:w="1800" w:type="dxa"/>
                </w:tcPr>
                <w:p w:rsidR="003D50EE" w:rsidRPr="003D50EE" w:rsidRDefault="003D50EE" w:rsidP="003D50EE">
                  <w:pPr>
                    <w:rPr>
                      <w:rFonts w:ascii="Verdana" w:hAnsi="Verdana"/>
                      <w:sz w:val="19"/>
                      <w:szCs w:val="19"/>
                    </w:rPr>
                  </w:pPr>
                  <w:r w:rsidRPr="003D50EE">
                    <w:rPr>
                      <w:rFonts w:ascii="Verdana" w:hAnsi="Verdana"/>
                      <w:sz w:val="19"/>
                      <w:szCs w:val="19"/>
                    </w:rPr>
                    <w:t>5</w:t>
                  </w:r>
                </w:p>
              </w:tc>
              <w:tc>
                <w:tcPr>
                  <w:tcW w:w="1890" w:type="dxa"/>
                </w:tcPr>
                <w:p w:rsidR="003D50EE" w:rsidRPr="003D50EE" w:rsidRDefault="003D50EE" w:rsidP="003D50EE">
                  <w:pPr>
                    <w:rPr>
                      <w:rFonts w:ascii="Verdana" w:hAnsi="Verdana"/>
                      <w:sz w:val="19"/>
                      <w:szCs w:val="19"/>
                    </w:rPr>
                  </w:pPr>
                  <w:r w:rsidRPr="003D50EE">
                    <w:rPr>
                      <w:rFonts w:ascii="Verdana" w:hAnsi="Verdana"/>
                      <w:sz w:val="19"/>
                      <w:szCs w:val="19"/>
                    </w:rPr>
                    <w:t>4.202</w:t>
                  </w:r>
                </w:p>
              </w:tc>
            </w:tr>
            <w:tr w:rsidR="003D50EE" w:rsidRPr="003D50EE" w:rsidTr="00607746">
              <w:tc>
                <w:tcPr>
                  <w:tcW w:w="1800" w:type="dxa"/>
                </w:tcPr>
                <w:p w:rsidR="003D50EE" w:rsidRPr="003D50EE" w:rsidRDefault="003D50EE" w:rsidP="003D50EE">
                  <w:pPr>
                    <w:rPr>
                      <w:rFonts w:ascii="Verdana" w:hAnsi="Verdana"/>
                      <w:sz w:val="19"/>
                      <w:szCs w:val="19"/>
                    </w:rPr>
                  </w:pPr>
                  <w:r w:rsidRPr="003D50EE">
                    <w:rPr>
                      <w:rFonts w:ascii="Verdana" w:hAnsi="Verdana"/>
                      <w:sz w:val="19"/>
                      <w:szCs w:val="19"/>
                    </w:rPr>
                    <w:t>6</w:t>
                  </w:r>
                </w:p>
              </w:tc>
              <w:tc>
                <w:tcPr>
                  <w:tcW w:w="1890" w:type="dxa"/>
                </w:tcPr>
                <w:p w:rsidR="003D50EE" w:rsidRPr="003D50EE" w:rsidRDefault="003D50EE" w:rsidP="003D50EE">
                  <w:pPr>
                    <w:rPr>
                      <w:rFonts w:ascii="Verdana" w:hAnsi="Verdana"/>
                      <w:sz w:val="19"/>
                      <w:szCs w:val="19"/>
                    </w:rPr>
                  </w:pPr>
                  <w:r w:rsidRPr="003D50EE">
                    <w:rPr>
                      <w:rFonts w:ascii="Verdana" w:hAnsi="Verdana"/>
                      <w:sz w:val="19"/>
                      <w:szCs w:val="19"/>
                    </w:rPr>
                    <w:t>3.707</w:t>
                  </w:r>
                </w:p>
              </w:tc>
            </w:tr>
            <w:tr w:rsidR="003D50EE" w:rsidRPr="003D50EE" w:rsidTr="00607746">
              <w:tc>
                <w:tcPr>
                  <w:tcW w:w="1800" w:type="dxa"/>
                </w:tcPr>
                <w:p w:rsidR="003D50EE" w:rsidRPr="003D50EE" w:rsidRDefault="003D50EE" w:rsidP="003D50EE">
                  <w:pPr>
                    <w:rPr>
                      <w:rFonts w:ascii="Verdana" w:hAnsi="Verdana"/>
                      <w:sz w:val="19"/>
                      <w:szCs w:val="19"/>
                    </w:rPr>
                  </w:pPr>
                  <w:r w:rsidRPr="003D50EE">
                    <w:rPr>
                      <w:rFonts w:ascii="Verdana" w:hAnsi="Verdana"/>
                      <w:sz w:val="19"/>
                      <w:szCs w:val="19"/>
                    </w:rPr>
                    <w:t>7</w:t>
                  </w:r>
                </w:p>
              </w:tc>
              <w:tc>
                <w:tcPr>
                  <w:tcW w:w="1890" w:type="dxa"/>
                </w:tcPr>
                <w:p w:rsidR="003D50EE" w:rsidRPr="003D50EE" w:rsidRDefault="003D50EE" w:rsidP="003D50EE">
                  <w:pPr>
                    <w:rPr>
                      <w:rFonts w:ascii="Verdana" w:hAnsi="Verdana"/>
                      <w:sz w:val="19"/>
                      <w:szCs w:val="19"/>
                    </w:rPr>
                  </w:pPr>
                  <w:r w:rsidRPr="003D50EE">
                    <w:rPr>
                      <w:rFonts w:ascii="Verdana" w:hAnsi="Verdana"/>
                      <w:sz w:val="19"/>
                      <w:szCs w:val="19"/>
                    </w:rPr>
                    <w:t>3.399</w:t>
                  </w:r>
                </w:p>
              </w:tc>
            </w:tr>
            <w:tr w:rsidR="003D50EE" w:rsidRPr="003D50EE" w:rsidTr="00607746">
              <w:tc>
                <w:tcPr>
                  <w:tcW w:w="1800" w:type="dxa"/>
                </w:tcPr>
                <w:p w:rsidR="003D50EE" w:rsidRPr="003D50EE" w:rsidRDefault="003D50EE" w:rsidP="003D50EE">
                  <w:pPr>
                    <w:rPr>
                      <w:rFonts w:ascii="Verdana" w:hAnsi="Verdana"/>
                      <w:sz w:val="19"/>
                      <w:szCs w:val="19"/>
                    </w:rPr>
                  </w:pPr>
                  <w:r w:rsidRPr="003D50EE">
                    <w:rPr>
                      <w:rFonts w:ascii="Verdana" w:hAnsi="Verdana"/>
                      <w:sz w:val="19"/>
                      <w:szCs w:val="19"/>
                    </w:rPr>
                    <w:t>8</w:t>
                  </w:r>
                </w:p>
              </w:tc>
              <w:tc>
                <w:tcPr>
                  <w:tcW w:w="1890" w:type="dxa"/>
                </w:tcPr>
                <w:p w:rsidR="003D50EE" w:rsidRPr="003D50EE" w:rsidRDefault="003D50EE" w:rsidP="003D50EE">
                  <w:pPr>
                    <w:rPr>
                      <w:rFonts w:ascii="Verdana" w:hAnsi="Verdana"/>
                      <w:sz w:val="19"/>
                      <w:szCs w:val="19"/>
                    </w:rPr>
                  </w:pPr>
                  <w:r w:rsidRPr="003D50EE">
                    <w:rPr>
                      <w:rFonts w:ascii="Verdana" w:hAnsi="Verdana"/>
                      <w:sz w:val="19"/>
                      <w:szCs w:val="19"/>
                    </w:rPr>
                    <w:t>3.188</w:t>
                  </w:r>
                </w:p>
              </w:tc>
            </w:tr>
            <w:tr w:rsidR="003D50EE" w:rsidRPr="003D50EE" w:rsidTr="00607746">
              <w:tc>
                <w:tcPr>
                  <w:tcW w:w="1800" w:type="dxa"/>
                </w:tcPr>
                <w:p w:rsidR="003D50EE" w:rsidRPr="003D50EE" w:rsidRDefault="003D50EE" w:rsidP="003D50EE">
                  <w:pPr>
                    <w:rPr>
                      <w:rFonts w:ascii="Verdana" w:hAnsi="Verdana"/>
                      <w:sz w:val="19"/>
                      <w:szCs w:val="19"/>
                    </w:rPr>
                  </w:pPr>
                  <w:r w:rsidRPr="003D50EE">
                    <w:rPr>
                      <w:rFonts w:ascii="Verdana" w:hAnsi="Verdana"/>
                      <w:sz w:val="19"/>
                      <w:szCs w:val="19"/>
                    </w:rPr>
                    <w:t>9</w:t>
                  </w:r>
                </w:p>
              </w:tc>
              <w:tc>
                <w:tcPr>
                  <w:tcW w:w="1890" w:type="dxa"/>
                </w:tcPr>
                <w:p w:rsidR="003D50EE" w:rsidRPr="003D50EE" w:rsidRDefault="003D50EE" w:rsidP="003D50EE">
                  <w:pPr>
                    <w:rPr>
                      <w:rFonts w:ascii="Verdana" w:hAnsi="Verdana"/>
                      <w:sz w:val="19"/>
                      <w:szCs w:val="19"/>
                    </w:rPr>
                  </w:pPr>
                  <w:r w:rsidRPr="003D50EE">
                    <w:rPr>
                      <w:rFonts w:ascii="Verdana" w:hAnsi="Verdana"/>
                      <w:sz w:val="19"/>
                      <w:szCs w:val="19"/>
                    </w:rPr>
                    <w:t>3.031</w:t>
                  </w:r>
                </w:p>
              </w:tc>
            </w:tr>
            <w:tr w:rsidR="003D50EE" w:rsidRPr="003D50EE" w:rsidTr="00607746">
              <w:tc>
                <w:tcPr>
                  <w:tcW w:w="1800" w:type="dxa"/>
                </w:tcPr>
                <w:p w:rsidR="003D50EE" w:rsidRPr="003D50EE" w:rsidRDefault="003D50EE" w:rsidP="003D50EE">
                  <w:pPr>
                    <w:rPr>
                      <w:rFonts w:ascii="Verdana" w:hAnsi="Verdana"/>
                      <w:sz w:val="19"/>
                      <w:szCs w:val="19"/>
                    </w:rPr>
                  </w:pPr>
                  <w:r w:rsidRPr="003D50EE">
                    <w:rPr>
                      <w:rFonts w:ascii="Verdana" w:hAnsi="Verdana"/>
                      <w:sz w:val="19"/>
                      <w:szCs w:val="19"/>
                    </w:rPr>
                    <w:t>10</w:t>
                  </w:r>
                </w:p>
              </w:tc>
              <w:tc>
                <w:tcPr>
                  <w:tcW w:w="1890" w:type="dxa"/>
                </w:tcPr>
                <w:p w:rsidR="003D50EE" w:rsidRPr="003D50EE" w:rsidRDefault="003D50EE" w:rsidP="003D50EE">
                  <w:pPr>
                    <w:rPr>
                      <w:rFonts w:ascii="Verdana" w:hAnsi="Verdana"/>
                      <w:sz w:val="19"/>
                      <w:szCs w:val="19"/>
                    </w:rPr>
                  </w:pPr>
                  <w:r w:rsidRPr="003D50EE">
                    <w:rPr>
                      <w:rFonts w:ascii="Verdana" w:hAnsi="Verdana"/>
                      <w:sz w:val="19"/>
                      <w:szCs w:val="19"/>
                    </w:rPr>
                    <w:t>2.911</w:t>
                  </w:r>
                </w:p>
              </w:tc>
            </w:tr>
            <w:tr w:rsidR="003D50EE" w:rsidRPr="003D50EE" w:rsidTr="00607746">
              <w:tc>
                <w:tcPr>
                  <w:tcW w:w="1800" w:type="dxa"/>
                </w:tcPr>
                <w:p w:rsidR="003D50EE" w:rsidRPr="003D50EE" w:rsidRDefault="003D50EE" w:rsidP="003D50EE">
                  <w:pPr>
                    <w:rPr>
                      <w:rFonts w:ascii="Verdana" w:hAnsi="Verdana"/>
                      <w:sz w:val="19"/>
                      <w:szCs w:val="19"/>
                    </w:rPr>
                  </w:pPr>
                  <w:r w:rsidRPr="003D50EE">
                    <w:rPr>
                      <w:rFonts w:ascii="Verdana" w:hAnsi="Verdana"/>
                      <w:sz w:val="19"/>
                      <w:szCs w:val="19"/>
                    </w:rPr>
                    <w:t>11</w:t>
                  </w:r>
                </w:p>
              </w:tc>
              <w:tc>
                <w:tcPr>
                  <w:tcW w:w="1890" w:type="dxa"/>
                </w:tcPr>
                <w:p w:rsidR="003D50EE" w:rsidRPr="003D50EE" w:rsidRDefault="003D50EE" w:rsidP="003D50EE">
                  <w:pPr>
                    <w:rPr>
                      <w:rFonts w:ascii="Verdana" w:hAnsi="Verdana"/>
                      <w:sz w:val="19"/>
                      <w:szCs w:val="19"/>
                    </w:rPr>
                  </w:pPr>
                  <w:r w:rsidRPr="003D50EE">
                    <w:rPr>
                      <w:rFonts w:ascii="Verdana" w:hAnsi="Verdana"/>
                      <w:sz w:val="19"/>
                      <w:szCs w:val="19"/>
                    </w:rPr>
                    <w:t>2.815</w:t>
                  </w:r>
                </w:p>
              </w:tc>
            </w:tr>
            <w:tr w:rsidR="003D50EE" w:rsidRPr="003D50EE" w:rsidTr="00607746">
              <w:tc>
                <w:tcPr>
                  <w:tcW w:w="1800" w:type="dxa"/>
                </w:tcPr>
                <w:p w:rsidR="003D50EE" w:rsidRPr="003D50EE" w:rsidRDefault="003D50EE" w:rsidP="003D50EE">
                  <w:pPr>
                    <w:rPr>
                      <w:rFonts w:ascii="Verdana" w:hAnsi="Verdana"/>
                      <w:sz w:val="19"/>
                      <w:szCs w:val="19"/>
                    </w:rPr>
                  </w:pPr>
                  <w:r w:rsidRPr="003D50EE">
                    <w:rPr>
                      <w:rFonts w:ascii="Verdana" w:hAnsi="Verdana"/>
                      <w:sz w:val="19"/>
                      <w:szCs w:val="19"/>
                    </w:rPr>
                    <w:t>12</w:t>
                  </w:r>
                </w:p>
              </w:tc>
              <w:tc>
                <w:tcPr>
                  <w:tcW w:w="1890" w:type="dxa"/>
                </w:tcPr>
                <w:p w:rsidR="003D50EE" w:rsidRPr="003D50EE" w:rsidRDefault="003D50EE" w:rsidP="003D50EE">
                  <w:pPr>
                    <w:rPr>
                      <w:rFonts w:ascii="Verdana" w:hAnsi="Verdana"/>
                      <w:sz w:val="19"/>
                      <w:szCs w:val="19"/>
                    </w:rPr>
                  </w:pPr>
                  <w:r w:rsidRPr="003D50EE">
                    <w:rPr>
                      <w:rFonts w:ascii="Verdana" w:hAnsi="Verdana"/>
                      <w:sz w:val="19"/>
                      <w:szCs w:val="19"/>
                    </w:rPr>
                    <w:t>2.736</w:t>
                  </w:r>
                </w:p>
              </w:tc>
            </w:tr>
          </w:tbl>
          <w:p w:rsidR="003D50EE" w:rsidRDefault="003D50EE" w:rsidP="00181A56">
            <w:pPr>
              <w:rPr>
                <w:rFonts w:ascii="Verdana" w:hAnsi="Verdana"/>
                <w:sz w:val="19"/>
                <w:szCs w:val="19"/>
              </w:rPr>
            </w:pPr>
          </w:p>
          <w:p w:rsidR="00F87E52" w:rsidRDefault="003D50EE" w:rsidP="00181A56">
            <w:pPr>
              <w:rPr>
                <w:rFonts w:ascii="Verdana" w:hAnsi="Verdana"/>
                <w:sz w:val="19"/>
                <w:szCs w:val="19"/>
              </w:rPr>
            </w:pPr>
            <w:r>
              <w:rPr>
                <w:rFonts w:ascii="Verdana" w:hAnsi="Verdana"/>
                <w:sz w:val="19"/>
                <w:szCs w:val="19"/>
              </w:rPr>
              <w:t xml:space="preserve">Other statistical methods may be used.  If other methods are utilized, </w:t>
            </w:r>
            <w:r w:rsidR="002B766B">
              <w:rPr>
                <w:rFonts w:ascii="Verdana" w:hAnsi="Verdana"/>
                <w:sz w:val="19"/>
                <w:szCs w:val="19"/>
              </w:rPr>
              <w:t xml:space="preserve">a full description of the method, equation, tables and any other supporting material must be submitted with the application.  </w:t>
            </w:r>
          </w:p>
          <w:p w:rsidR="00F87E52" w:rsidRDefault="00F87E52" w:rsidP="00181A56">
            <w:pPr>
              <w:rPr>
                <w:rFonts w:ascii="Verdana" w:hAnsi="Verdana"/>
                <w:sz w:val="19"/>
                <w:szCs w:val="19"/>
              </w:rPr>
            </w:pPr>
          </w:p>
          <w:p w:rsidR="00181A56" w:rsidRPr="00F050CC" w:rsidRDefault="00622086" w:rsidP="00181A56">
            <w:pPr>
              <w:rPr>
                <w:rFonts w:ascii="Verdana" w:hAnsi="Verdana"/>
                <w:sz w:val="19"/>
                <w:szCs w:val="19"/>
              </w:rPr>
            </w:pPr>
            <w:r w:rsidRPr="00F050CC">
              <w:rPr>
                <w:rFonts w:ascii="Verdana" w:hAnsi="Verdana"/>
                <w:sz w:val="19"/>
                <w:szCs w:val="19"/>
              </w:rPr>
              <w:t>The applicant may defer</w:t>
            </w:r>
            <w:r w:rsidR="0001061D">
              <w:rPr>
                <w:rFonts w:ascii="Verdana" w:hAnsi="Verdana"/>
                <w:sz w:val="19"/>
                <w:szCs w:val="19"/>
              </w:rPr>
              <w:t xml:space="preserve"> to ADEQ to make</w:t>
            </w:r>
            <w:r w:rsidRPr="00F050CC">
              <w:rPr>
                <w:rFonts w:ascii="Verdana" w:hAnsi="Verdana"/>
                <w:sz w:val="19"/>
                <w:szCs w:val="19"/>
              </w:rPr>
              <w:t xml:space="preserve"> these calculations.  </w:t>
            </w:r>
            <w:r w:rsidR="00634813">
              <w:rPr>
                <w:rFonts w:ascii="Verdana" w:hAnsi="Verdana"/>
                <w:sz w:val="19"/>
                <w:szCs w:val="19"/>
              </w:rPr>
              <w:t>If after the ambient monitoring period, concentrations for constituents are equal to or less than the AWQS, the AQLs must be set at the AWQS per A.A.C. R18-9-A205(C)(1).</w:t>
            </w:r>
            <w:r w:rsidR="00164A6D">
              <w:rPr>
                <w:rFonts w:ascii="Verdana" w:hAnsi="Verdana"/>
                <w:sz w:val="19"/>
                <w:szCs w:val="19"/>
              </w:rPr>
              <w:t xml:space="preserve">  </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sz w:val="19"/>
                <w:szCs w:val="19"/>
              </w:rPr>
            </w:pPr>
            <w:r w:rsidRPr="00F050CC">
              <w:rPr>
                <w:rFonts w:ascii="Verdana" w:hAnsi="Verdana"/>
                <w:sz w:val="19"/>
                <w:szCs w:val="19"/>
              </w:rPr>
              <w:t xml:space="preserve">The limits in wastewater permits are often established at 80% of the AWQS for ALs and at the AWQS for AQLs, without ambient groundwater monitoring.  </w:t>
            </w:r>
            <w:r w:rsidR="00634813">
              <w:rPr>
                <w:rFonts w:ascii="Verdana" w:hAnsi="Verdana"/>
                <w:sz w:val="19"/>
                <w:szCs w:val="19"/>
              </w:rPr>
              <w:t xml:space="preserve">If it is thought that there might be a problem meeting the AWQS for constituents, </w:t>
            </w:r>
            <w:r w:rsidRPr="00F050CC">
              <w:rPr>
                <w:rFonts w:ascii="Verdana" w:hAnsi="Verdana"/>
                <w:sz w:val="19"/>
                <w:szCs w:val="19"/>
              </w:rPr>
              <w:t xml:space="preserve">ambient monitoring </w:t>
            </w:r>
            <w:r w:rsidR="00634813">
              <w:rPr>
                <w:rFonts w:ascii="Verdana" w:hAnsi="Verdana"/>
                <w:sz w:val="19"/>
                <w:szCs w:val="19"/>
              </w:rPr>
              <w:t>would be conducted as discussed in the previous paragrap</w:t>
            </w:r>
            <w:r w:rsidR="002B766B">
              <w:rPr>
                <w:rFonts w:ascii="Verdana" w:hAnsi="Verdana"/>
                <w:sz w:val="19"/>
                <w:szCs w:val="19"/>
              </w:rPr>
              <w:t>h.</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b/>
                <w:sz w:val="19"/>
                <w:szCs w:val="19"/>
                <w:u w:val="single"/>
              </w:rPr>
            </w:pPr>
            <w:r w:rsidRPr="00F050CC">
              <w:rPr>
                <w:rFonts w:ascii="Verdana" w:hAnsi="Verdana"/>
                <w:b/>
                <w:sz w:val="19"/>
                <w:szCs w:val="19"/>
                <w:u w:val="single"/>
              </w:rPr>
              <w:t>Draft Permit Information</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sz w:val="19"/>
                <w:szCs w:val="19"/>
              </w:rPr>
            </w:pPr>
            <w:r w:rsidRPr="00F050CC">
              <w:rPr>
                <w:rFonts w:ascii="Verdana" w:hAnsi="Verdana"/>
                <w:sz w:val="19"/>
                <w:szCs w:val="19"/>
              </w:rPr>
              <w:t>The hydrology sections of the draft permit should be prepared for the project manager</w:t>
            </w:r>
            <w:r w:rsidR="00AA6D57">
              <w:rPr>
                <w:rFonts w:ascii="Verdana" w:hAnsi="Verdana"/>
                <w:sz w:val="19"/>
                <w:szCs w:val="19"/>
              </w:rPr>
              <w:t xml:space="preserve"> by the ADEQ</w:t>
            </w:r>
            <w:r w:rsidR="00853977">
              <w:rPr>
                <w:rFonts w:ascii="Verdana" w:hAnsi="Verdana"/>
                <w:sz w:val="19"/>
                <w:szCs w:val="19"/>
              </w:rPr>
              <w:t xml:space="preserve"> </w:t>
            </w:r>
            <w:r w:rsidR="002B766B">
              <w:rPr>
                <w:rFonts w:ascii="Verdana" w:hAnsi="Verdana"/>
                <w:sz w:val="19"/>
                <w:szCs w:val="19"/>
              </w:rPr>
              <w:t>H</w:t>
            </w:r>
            <w:r w:rsidR="00AA6D57">
              <w:rPr>
                <w:rFonts w:ascii="Verdana" w:hAnsi="Verdana"/>
                <w:sz w:val="19"/>
                <w:szCs w:val="19"/>
              </w:rPr>
              <w:t>ydrologist</w:t>
            </w:r>
            <w:r w:rsidRPr="00F050CC">
              <w:rPr>
                <w:rFonts w:ascii="Verdana" w:hAnsi="Verdana"/>
                <w:sz w:val="19"/>
                <w:szCs w:val="19"/>
              </w:rPr>
              <w:t xml:space="preserve">.  This information is either placed in the final hydrology memo </w:t>
            </w:r>
            <w:r w:rsidR="002B766B">
              <w:rPr>
                <w:rFonts w:ascii="Verdana" w:hAnsi="Verdana"/>
                <w:sz w:val="19"/>
                <w:szCs w:val="19"/>
              </w:rPr>
              <w:t>and/</w:t>
            </w:r>
            <w:r w:rsidRPr="00F050CC">
              <w:rPr>
                <w:rFonts w:ascii="Verdana" w:hAnsi="Verdana"/>
                <w:sz w:val="19"/>
                <w:szCs w:val="19"/>
              </w:rPr>
              <w:t>or inserted into the draft permit outline provided by the project manager.  Most sections of the permit are available in the APP framework.</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sz w:val="19"/>
                <w:szCs w:val="19"/>
              </w:rPr>
            </w:pPr>
            <w:r w:rsidRPr="00F050CC">
              <w:rPr>
                <w:rFonts w:ascii="Verdana" w:hAnsi="Verdana"/>
                <w:b/>
                <w:sz w:val="19"/>
                <w:szCs w:val="19"/>
                <w:u w:val="single"/>
              </w:rPr>
              <w:t>Fact Sheet Information</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sz w:val="19"/>
                <w:szCs w:val="19"/>
              </w:rPr>
            </w:pPr>
            <w:r w:rsidRPr="00F050CC">
              <w:rPr>
                <w:rFonts w:ascii="Verdana" w:hAnsi="Verdana"/>
                <w:sz w:val="19"/>
                <w:szCs w:val="19"/>
              </w:rPr>
              <w:t>The hydrology sections of the fact sheet should be prepared for the project manager</w:t>
            </w:r>
            <w:r w:rsidR="00AA6D57">
              <w:rPr>
                <w:rFonts w:ascii="Verdana" w:hAnsi="Verdana"/>
                <w:sz w:val="19"/>
                <w:szCs w:val="19"/>
              </w:rPr>
              <w:t xml:space="preserve"> by the ADEQ</w:t>
            </w:r>
            <w:r w:rsidR="00853977">
              <w:rPr>
                <w:rFonts w:ascii="Verdana" w:hAnsi="Verdana"/>
                <w:sz w:val="19"/>
                <w:szCs w:val="19"/>
              </w:rPr>
              <w:t xml:space="preserve"> </w:t>
            </w:r>
            <w:r w:rsidR="002B766B">
              <w:rPr>
                <w:rFonts w:ascii="Verdana" w:hAnsi="Verdana"/>
                <w:sz w:val="19"/>
                <w:szCs w:val="19"/>
              </w:rPr>
              <w:t>H</w:t>
            </w:r>
            <w:r w:rsidR="00AA6D57">
              <w:rPr>
                <w:rFonts w:ascii="Verdana" w:hAnsi="Verdana"/>
                <w:sz w:val="19"/>
                <w:szCs w:val="19"/>
              </w:rPr>
              <w:t>ydrologist</w:t>
            </w:r>
            <w:r w:rsidRPr="00F050CC">
              <w:rPr>
                <w:rFonts w:ascii="Verdana" w:hAnsi="Verdana"/>
                <w:sz w:val="19"/>
                <w:szCs w:val="19"/>
              </w:rPr>
              <w:t xml:space="preserve">.  This information is either placed in the final hydrology memo </w:t>
            </w:r>
            <w:r w:rsidR="002B766B">
              <w:rPr>
                <w:rFonts w:ascii="Verdana" w:hAnsi="Verdana"/>
                <w:sz w:val="19"/>
                <w:szCs w:val="19"/>
              </w:rPr>
              <w:t>and/</w:t>
            </w:r>
            <w:r w:rsidRPr="00F050CC">
              <w:rPr>
                <w:rFonts w:ascii="Verdana" w:hAnsi="Verdana"/>
                <w:sz w:val="19"/>
                <w:szCs w:val="19"/>
              </w:rPr>
              <w:t>or inserted into the fact sheet outline provided by the project manager.  The sections generally inserted by the hydrologist are:</w:t>
            </w:r>
          </w:p>
          <w:p w:rsidR="00181A56" w:rsidRPr="00F050CC" w:rsidRDefault="00181A56" w:rsidP="00181A56">
            <w:pPr>
              <w:rPr>
                <w:rFonts w:ascii="Verdana" w:hAnsi="Verdana"/>
                <w:sz w:val="19"/>
                <w:szCs w:val="19"/>
              </w:rPr>
            </w:pPr>
          </w:p>
          <w:p w:rsidR="00181A56" w:rsidRPr="00F050CC" w:rsidRDefault="00181A56" w:rsidP="00181A56">
            <w:pPr>
              <w:tabs>
                <w:tab w:val="left" w:pos="360"/>
              </w:tabs>
              <w:ind w:left="360" w:hanging="360"/>
              <w:rPr>
                <w:rFonts w:ascii="Verdana" w:hAnsi="Verdana"/>
                <w:sz w:val="19"/>
                <w:szCs w:val="19"/>
              </w:rPr>
            </w:pPr>
            <w:r w:rsidRPr="00F050CC">
              <w:rPr>
                <w:rFonts w:ascii="Verdana" w:hAnsi="Verdana"/>
                <w:sz w:val="19"/>
                <w:szCs w:val="19"/>
              </w:rPr>
              <w:t>(1)</w:t>
            </w:r>
            <w:r w:rsidRPr="00F050CC">
              <w:rPr>
                <w:rFonts w:ascii="Verdana" w:hAnsi="Verdana"/>
                <w:sz w:val="19"/>
                <w:szCs w:val="19"/>
              </w:rPr>
              <w:tab/>
              <w:t>Brief summary of hydrogeologic setting, to be included in the Facility Description</w:t>
            </w:r>
            <w:r w:rsidR="002B766B">
              <w:rPr>
                <w:rFonts w:ascii="Verdana" w:hAnsi="Verdana"/>
                <w:sz w:val="19"/>
                <w:szCs w:val="19"/>
              </w:rPr>
              <w:t xml:space="preserve"> (Section II)</w:t>
            </w:r>
          </w:p>
          <w:p w:rsidR="00181A56" w:rsidRPr="00F050CC" w:rsidRDefault="00181A56" w:rsidP="00181A56">
            <w:pPr>
              <w:tabs>
                <w:tab w:val="left" w:pos="360"/>
              </w:tabs>
              <w:ind w:left="360" w:hanging="360"/>
              <w:rPr>
                <w:rFonts w:ascii="Verdana" w:hAnsi="Verdana"/>
                <w:sz w:val="19"/>
                <w:szCs w:val="19"/>
              </w:rPr>
            </w:pPr>
            <w:r w:rsidRPr="00F050CC">
              <w:rPr>
                <w:rFonts w:ascii="Verdana" w:hAnsi="Verdana"/>
                <w:sz w:val="19"/>
                <w:szCs w:val="19"/>
              </w:rPr>
              <w:t>(2)</w:t>
            </w:r>
            <w:r w:rsidRPr="00F050CC">
              <w:rPr>
                <w:rFonts w:ascii="Verdana" w:hAnsi="Verdana"/>
                <w:sz w:val="19"/>
                <w:szCs w:val="19"/>
              </w:rPr>
              <w:tab/>
              <w:t>Compliance With Aquifer Water Quality Standards (Section III)</w:t>
            </w:r>
          </w:p>
          <w:p w:rsidR="00181A56" w:rsidRPr="00F050CC" w:rsidRDefault="00181A56" w:rsidP="00181A56">
            <w:pPr>
              <w:tabs>
                <w:tab w:val="left" w:pos="360"/>
              </w:tabs>
              <w:ind w:left="360" w:hanging="360"/>
              <w:rPr>
                <w:rFonts w:ascii="Verdana" w:hAnsi="Verdana"/>
                <w:sz w:val="19"/>
                <w:szCs w:val="19"/>
              </w:rPr>
            </w:pPr>
            <w:r w:rsidRPr="00F050CC">
              <w:rPr>
                <w:rFonts w:ascii="Verdana" w:hAnsi="Verdana"/>
                <w:sz w:val="19"/>
                <w:szCs w:val="19"/>
              </w:rPr>
              <w:t>(3)</w:t>
            </w:r>
            <w:r w:rsidRPr="00F050CC">
              <w:rPr>
                <w:rFonts w:ascii="Verdana" w:hAnsi="Verdana"/>
                <w:sz w:val="19"/>
                <w:szCs w:val="19"/>
              </w:rPr>
              <w:tab/>
              <w:t>Storm Water and Surface Water Issues (Section IV)</w:t>
            </w:r>
          </w:p>
          <w:p w:rsidR="00181A56" w:rsidRPr="00F050CC" w:rsidRDefault="00181A56" w:rsidP="00181A56">
            <w:pPr>
              <w:tabs>
                <w:tab w:val="left" w:pos="360"/>
              </w:tabs>
              <w:ind w:left="360" w:hanging="360"/>
              <w:rPr>
                <w:rFonts w:ascii="Verdana" w:hAnsi="Verdana"/>
                <w:sz w:val="19"/>
                <w:szCs w:val="19"/>
              </w:rPr>
            </w:pPr>
            <w:r w:rsidRPr="00F050CC">
              <w:rPr>
                <w:rFonts w:ascii="Verdana" w:hAnsi="Verdana"/>
                <w:sz w:val="19"/>
                <w:szCs w:val="19"/>
              </w:rPr>
              <w:t>(4)</w:t>
            </w:r>
            <w:r w:rsidRPr="00F050CC">
              <w:rPr>
                <w:rFonts w:ascii="Verdana" w:hAnsi="Verdana"/>
                <w:sz w:val="19"/>
                <w:szCs w:val="19"/>
              </w:rPr>
              <w:tab/>
              <w:t>Compliance Schedule Items (Section IV) such as discharge monitoring, installation of POCs, ambient sampling, etc.</w:t>
            </w:r>
          </w:p>
          <w:p w:rsidR="00303EA8" w:rsidRDefault="00303EA8" w:rsidP="00181A56">
            <w:pPr>
              <w:rPr>
                <w:rFonts w:ascii="Verdana" w:hAnsi="Verdana"/>
                <w:sz w:val="19"/>
                <w:szCs w:val="19"/>
              </w:rPr>
            </w:pPr>
          </w:p>
          <w:p w:rsidR="00303EA8" w:rsidRDefault="00303EA8" w:rsidP="00181A56">
            <w:pPr>
              <w:rPr>
                <w:rFonts w:ascii="Verdana" w:hAnsi="Verdana"/>
                <w:sz w:val="19"/>
                <w:szCs w:val="19"/>
              </w:rPr>
            </w:pPr>
          </w:p>
          <w:p w:rsidR="00DD4532" w:rsidRDefault="00DD4532" w:rsidP="00181A56">
            <w:pPr>
              <w:rPr>
                <w:rFonts w:ascii="Verdana" w:hAnsi="Verdana"/>
                <w:sz w:val="19"/>
                <w:szCs w:val="19"/>
              </w:rPr>
            </w:pPr>
          </w:p>
          <w:p w:rsidR="00DD4532" w:rsidRDefault="00DD4532" w:rsidP="00181A56">
            <w:pPr>
              <w:rPr>
                <w:rFonts w:ascii="Verdana" w:hAnsi="Verdana"/>
                <w:sz w:val="19"/>
                <w:szCs w:val="19"/>
              </w:rPr>
            </w:pPr>
          </w:p>
          <w:p w:rsidR="00F87E52" w:rsidRDefault="00F87E52" w:rsidP="00181A56">
            <w:pPr>
              <w:rPr>
                <w:rFonts w:ascii="Verdana" w:hAnsi="Verdana"/>
                <w:sz w:val="19"/>
                <w:szCs w:val="19"/>
              </w:rPr>
            </w:pPr>
          </w:p>
          <w:p w:rsidR="00F87E52" w:rsidRPr="00F050CC" w:rsidRDefault="00F87E52" w:rsidP="00181A56">
            <w:pPr>
              <w:rPr>
                <w:rFonts w:ascii="Verdana" w:hAnsi="Verdana"/>
                <w:sz w:val="19"/>
                <w:szCs w:val="19"/>
              </w:rPr>
            </w:pPr>
          </w:p>
          <w:p w:rsidR="00181A56" w:rsidRPr="00F050CC" w:rsidRDefault="00181A56" w:rsidP="007B1A03">
            <w:pPr>
              <w:jc w:val="center"/>
              <w:rPr>
                <w:rFonts w:ascii="Verdana" w:hAnsi="Verdana"/>
                <w:sz w:val="19"/>
                <w:szCs w:val="19"/>
              </w:rPr>
            </w:pPr>
            <w:r w:rsidRPr="00F050CC">
              <w:rPr>
                <w:rFonts w:ascii="Verdana" w:hAnsi="Verdana"/>
                <w:b/>
                <w:sz w:val="19"/>
                <w:szCs w:val="19"/>
                <w:u w:val="single"/>
              </w:rPr>
              <w:t>SUPPLEMENTAL CONSIDERATIONS</w:t>
            </w:r>
          </w:p>
          <w:p w:rsidR="00181A56" w:rsidRPr="00F050CC" w:rsidRDefault="00181A56" w:rsidP="00181A56">
            <w:pPr>
              <w:rPr>
                <w:rFonts w:ascii="Verdana" w:hAnsi="Verdana"/>
                <w:b/>
                <w:sz w:val="19"/>
                <w:szCs w:val="19"/>
                <w:u w:val="single"/>
              </w:rPr>
            </w:pPr>
            <w:r w:rsidRPr="00F050CC">
              <w:rPr>
                <w:rFonts w:ascii="Verdana" w:hAnsi="Verdana"/>
                <w:b/>
                <w:sz w:val="19"/>
                <w:szCs w:val="19"/>
                <w:u w:val="single"/>
              </w:rPr>
              <w:t>Passive Containment – Open Pit Mines</w:t>
            </w:r>
            <w:r w:rsidR="00AF248E">
              <w:rPr>
                <w:rFonts w:ascii="Verdana" w:hAnsi="Verdana"/>
                <w:b/>
                <w:sz w:val="19"/>
                <w:szCs w:val="19"/>
                <w:u w:val="single"/>
              </w:rPr>
              <w:t xml:space="preserve">  </w:t>
            </w:r>
          </w:p>
          <w:p w:rsidR="00181A56" w:rsidRPr="00F050CC" w:rsidRDefault="00181A56" w:rsidP="00181A56">
            <w:pPr>
              <w:rPr>
                <w:rFonts w:ascii="Verdana" w:hAnsi="Verdana"/>
                <w:b/>
                <w:sz w:val="19"/>
                <w:szCs w:val="19"/>
                <w:u w:val="single"/>
              </w:rPr>
            </w:pPr>
          </w:p>
          <w:p w:rsidR="00181A56" w:rsidRPr="00F050CC" w:rsidRDefault="00181A56" w:rsidP="00181A56">
            <w:pPr>
              <w:rPr>
                <w:rFonts w:ascii="Verdana" w:hAnsi="Verdana"/>
                <w:sz w:val="19"/>
                <w:szCs w:val="19"/>
              </w:rPr>
            </w:pPr>
            <w:r w:rsidRPr="00F050CC">
              <w:rPr>
                <w:rFonts w:ascii="Verdana" w:hAnsi="Verdana"/>
                <w:sz w:val="19"/>
                <w:szCs w:val="19"/>
              </w:rPr>
              <w:t>The use of passive containment as a component of BADCT is allowed under A.R.S.§ 49-243(G).This is allowed if the mine pit creates a passive containment that is sufficient to capture the pollutants discharged and that is hydrologically isolated to the extent that it does not allow pollutant migration from the capture zone.</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sz w:val="19"/>
                <w:szCs w:val="19"/>
              </w:rPr>
            </w:pPr>
            <w:r w:rsidRPr="00F050CC">
              <w:rPr>
                <w:rFonts w:ascii="Verdana" w:hAnsi="Verdana"/>
                <w:sz w:val="19"/>
                <w:szCs w:val="19"/>
              </w:rPr>
              <w:t>The statute specifies that passive containment means natural or engineered topographical, geological, or hydrological control measures that can operate without continuous maintenance.  Therefore, hydrologic containment that is achieved by active pumping of solutions from the open pit does not constitute passive containment.  To evaluate passive containment, the applicant must model the equilibrium condition to be attained if active pumping ceases, and the open pit returns to an equilibrium condition.  This is the condition where the pit lake evaporation equals the volume of stormwater and groundwater inflow to the pit, resulting in a stabilized condition.  This modeled condition can be utilized to determine the groundwater divide, within which groundwater will flow toward the open pit, creating a passive containment capture zone (PCCZ) that can be indicated on a map</w:t>
            </w:r>
            <w:r w:rsidR="002C2D6D">
              <w:rPr>
                <w:rFonts w:ascii="Verdana" w:hAnsi="Verdana"/>
                <w:sz w:val="19"/>
                <w:szCs w:val="19"/>
              </w:rPr>
              <w:t>.</w:t>
            </w:r>
            <w:r w:rsidR="005D5486">
              <w:rPr>
                <w:rFonts w:ascii="Verdana" w:hAnsi="Verdana"/>
                <w:sz w:val="19"/>
                <w:szCs w:val="19"/>
              </w:rPr>
              <w:t xml:space="preserve"> </w:t>
            </w:r>
            <w:r w:rsidRPr="00F050CC">
              <w:rPr>
                <w:rFonts w:ascii="Verdana" w:hAnsi="Verdana"/>
                <w:sz w:val="19"/>
                <w:szCs w:val="19"/>
              </w:rPr>
              <w:t xml:space="preserve"> </w:t>
            </w:r>
            <w:r w:rsidR="002E66D1">
              <w:rPr>
                <w:rFonts w:ascii="Verdana" w:hAnsi="Verdana"/>
                <w:sz w:val="19"/>
                <w:szCs w:val="19"/>
              </w:rPr>
              <w:t>The PCCZ demonstration is based on site specific conditions and may be complex because current and future planned pit configurations need to be considered. Communication between the applicant and ADEQ hydrologist during the pre-application stage and through</w:t>
            </w:r>
            <w:r w:rsidR="0094581C">
              <w:rPr>
                <w:rFonts w:ascii="Verdana" w:hAnsi="Verdana"/>
                <w:sz w:val="19"/>
                <w:szCs w:val="19"/>
              </w:rPr>
              <w:t>out the substantive review</w:t>
            </w:r>
            <w:r w:rsidR="0001061D">
              <w:rPr>
                <w:rFonts w:ascii="Verdana" w:hAnsi="Verdana"/>
                <w:sz w:val="19"/>
                <w:szCs w:val="19"/>
              </w:rPr>
              <w:t xml:space="preserve"> will</w:t>
            </w:r>
            <w:r w:rsidR="002E66D1">
              <w:rPr>
                <w:rFonts w:ascii="Verdana" w:hAnsi="Verdana"/>
                <w:sz w:val="19"/>
                <w:szCs w:val="19"/>
              </w:rPr>
              <w:t xml:space="preserve"> assist in identifying specific</w:t>
            </w:r>
            <w:r w:rsidR="0094581C">
              <w:rPr>
                <w:rFonts w:ascii="Verdana" w:hAnsi="Verdana"/>
                <w:sz w:val="19"/>
                <w:szCs w:val="19"/>
              </w:rPr>
              <w:t xml:space="preserve"> information needed to demonstrate passive containment.</w:t>
            </w:r>
            <w:r w:rsidR="002E66D1">
              <w:rPr>
                <w:rFonts w:ascii="Verdana" w:hAnsi="Verdana"/>
                <w:sz w:val="19"/>
                <w:szCs w:val="19"/>
              </w:rPr>
              <w:t xml:space="preserve"> </w:t>
            </w:r>
            <w:r w:rsidR="00B27DBD">
              <w:rPr>
                <w:rFonts w:ascii="Verdana" w:hAnsi="Verdana"/>
                <w:sz w:val="19"/>
                <w:szCs w:val="19"/>
              </w:rPr>
              <w:t xml:space="preserve">  </w:t>
            </w:r>
          </w:p>
          <w:p w:rsidR="00181A56" w:rsidRPr="00F050CC" w:rsidRDefault="00181A56" w:rsidP="00181A56">
            <w:pPr>
              <w:rPr>
                <w:rFonts w:ascii="Verdana" w:hAnsi="Verdana"/>
                <w:b/>
                <w:sz w:val="19"/>
                <w:szCs w:val="19"/>
                <w:u w:val="single"/>
              </w:rPr>
            </w:pPr>
          </w:p>
          <w:p w:rsidR="00181A56" w:rsidRPr="00F050CC" w:rsidRDefault="00181A56" w:rsidP="00181A56">
            <w:pPr>
              <w:rPr>
                <w:rFonts w:ascii="Verdana" w:hAnsi="Verdana"/>
                <w:b/>
                <w:sz w:val="19"/>
                <w:szCs w:val="19"/>
                <w:u w:val="single"/>
              </w:rPr>
            </w:pPr>
            <w:r w:rsidRPr="00F050CC">
              <w:rPr>
                <w:rFonts w:ascii="Verdana" w:hAnsi="Verdana"/>
                <w:b/>
                <w:sz w:val="19"/>
                <w:szCs w:val="19"/>
                <w:u w:val="single"/>
              </w:rPr>
              <w:t>Wastewater Issues</w:t>
            </w:r>
          </w:p>
          <w:p w:rsidR="00181A56" w:rsidRPr="00F050CC" w:rsidRDefault="00181A56" w:rsidP="00181A56">
            <w:pPr>
              <w:rPr>
                <w:rFonts w:ascii="Verdana" w:hAnsi="Verdana"/>
                <w:b/>
                <w:sz w:val="19"/>
                <w:szCs w:val="19"/>
                <w:u w:val="single"/>
              </w:rPr>
            </w:pPr>
          </w:p>
          <w:p w:rsidR="00181A56" w:rsidRPr="00F050CC" w:rsidRDefault="00181A56" w:rsidP="00181A56">
            <w:pPr>
              <w:rPr>
                <w:rFonts w:ascii="Verdana" w:hAnsi="Verdana"/>
                <w:sz w:val="19"/>
                <w:szCs w:val="19"/>
              </w:rPr>
            </w:pPr>
            <w:r w:rsidRPr="00F050CC">
              <w:rPr>
                <w:rFonts w:ascii="Verdana" w:hAnsi="Verdana"/>
                <w:sz w:val="19"/>
                <w:szCs w:val="19"/>
              </w:rPr>
              <w:t>Wastewater permits must occasionally include a separate POC location for discharges in excess of 250,000 gallons of effluent per day to surface water drainages.  Wastewater permits, in coordination with AZPDES permits, routinely allow the disposal of treated effluent to surface water drainages.  Effluent discharges that average less than 250,000 gallons per day, while they must meet effluent discharge limitations and the requirements of the AZPDES permit, do not require a POC for the evaluation of groundwater impacts.  If a POC is required, the PMA for the surface effluent discharge is the distance that the effluent will flow in the drainage until it is all percolated into the soil.  The POC is established at the downstream edge of this flow footprint.</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sz w:val="19"/>
                <w:szCs w:val="19"/>
              </w:rPr>
            </w:pPr>
            <w:r w:rsidRPr="00F050CC">
              <w:rPr>
                <w:rFonts w:ascii="Verdana" w:hAnsi="Verdana"/>
                <w:sz w:val="19"/>
                <w:szCs w:val="19"/>
              </w:rPr>
              <w:t>Wastewater permits may also include disposal of effluent through the use of trenches, infiltration basins, or injection wells (i.e. – recharge to the aquifer).  As a part of these applications, the applicant should provide an analysis of any potential groundwater mounding that can be predicted to occur based upon the proposed discharge.  Permit conditions may require the monitoring of groundwater levels to evaluate any mounding that occurs, and any resulting change in groundwater flow direction.  A change in groundwater flow direction or quality due to groundwater recharge may require the establishment of new POC locations.</w:t>
            </w:r>
          </w:p>
          <w:p w:rsidR="00181A56" w:rsidRPr="00F050CC" w:rsidRDefault="00181A56" w:rsidP="00181A56">
            <w:pPr>
              <w:rPr>
                <w:rFonts w:ascii="Verdana" w:hAnsi="Verdana"/>
                <w:b/>
                <w:sz w:val="19"/>
                <w:szCs w:val="19"/>
                <w:u w:val="single"/>
              </w:rPr>
            </w:pPr>
          </w:p>
          <w:p w:rsidR="00181A56" w:rsidRPr="00F050CC" w:rsidRDefault="00181A56" w:rsidP="00181A56">
            <w:pPr>
              <w:rPr>
                <w:rFonts w:ascii="Verdana" w:hAnsi="Verdana"/>
                <w:b/>
                <w:sz w:val="19"/>
                <w:szCs w:val="19"/>
                <w:u w:val="single"/>
              </w:rPr>
            </w:pPr>
            <w:r w:rsidRPr="00F050CC">
              <w:rPr>
                <w:rFonts w:ascii="Verdana" w:hAnsi="Verdana"/>
                <w:b/>
                <w:sz w:val="19"/>
                <w:szCs w:val="19"/>
                <w:u w:val="single"/>
              </w:rPr>
              <w:t>Reuse Issues</w:t>
            </w:r>
          </w:p>
          <w:p w:rsidR="00181A56" w:rsidRPr="00F050CC" w:rsidRDefault="00181A56" w:rsidP="00181A56">
            <w:pPr>
              <w:rPr>
                <w:rFonts w:ascii="Verdana" w:hAnsi="Verdana"/>
                <w:b/>
                <w:sz w:val="19"/>
                <w:szCs w:val="19"/>
                <w:u w:val="single"/>
              </w:rPr>
            </w:pPr>
          </w:p>
          <w:p w:rsidR="00181A56" w:rsidRPr="00F050CC" w:rsidRDefault="00181A56" w:rsidP="00181A56">
            <w:pPr>
              <w:rPr>
                <w:rFonts w:ascii="Verdana" w:hAnsi="Verdana"/>
                <w:sz w:val="19"/>
                <w:szCs w:val="19"/>
              </w:rPr>
            </w:pPr>
            <w:r w:rsidRPr="00F050CC">
              <w:rPr>
                <w:rFonts w:ascii="Verdana" w:hAnsi="Verdana"/>
                <w:sz w:val="19"/>
                <w:szCs w:val="19"/>
              </w:rPr>
              <w:t>Reuse permits will often permit the use of treated wastewater effluent for consumptive reuse on landscaping and other plants.  The related individual APP will generally include a specific effluent disposal method(s), including volume limitations.  A separate reuse permit is also required in accordance with A.A.C. R18-9-700, in addition to the individual APP.  The GWS has established a spreadsheet using a Blaney-Criddle approach for the evaluation of consumptive reuse on associated grasses and trees.  This spreadsheet and associated instructions have been posted on the ADEQ website.  Any water use beyond that consumed by the established vegetation constitutes a recharge to the aquifer, and will require an APP to regulate the recharge.</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b/>
                <w:sz w:val="19"/>
                <w:szCs w:val="19"/>
                <w:u w:val="single"/>
              </w:rPr>
            </w:pPr>
            <w:r w:rsidRPr="00F050CC">
              <w:rPr>
                <w:rFonts w:ascii="Verdana" w:hAnsi="Verdana"/>
                <w:b/>
                <w:sz w:val="19"/>
                <w:szCs w:val="19"/>
                <w:u w:val="single"/>
              </w:rPr>
              <w:t>Well Design</w:t>
            </w:r>
          </w:p>
          <w:p w:rsidR="00181A56" w:rsidRPr="00F050CC" w:rsidRDefault="00181A56" w:rsidP="00181A56">
            <w:pPr>
              <w:rPr>
                <w:rFonts w:ascii="Verdana" w:hAnsi="Verdana"/>
                <w:b/>
                <w:sz w:val="19"/>
                <w:szCs w:val="19"/>
                <w:u w:val="single"/>
              </w:rPr>
            </w:pPr>
          </w:p>
          <w:p w:rsidR="00181A56" w:rsidRPr="00F050CC" w:rsidRDefault="00181A56" w:rsidP="00181A56">
            <w:pPr>
              <w:rPr>
                <w:rFonts w:ascii="Verdana" w:hAnsi="Verdana"/>
                <w:sz w:val="19"/>
                <w:szCs w:val="19"/>
              </w:rPr>
            </w:pPr>
            <w:r w:rsidRPr="00F050CC">
              <w:rPr>
                <w:rFonts w:ascii="Verdana" w:hAnsi="Verdana"/>
                <w:sz w:val="19"/>
                <w:szCs w:val="19"/>
              </w:rPr>
              <w:t>All monitor wells should be designed to provide water analyses that are representative of the water quality in the relevant aquifer.  Well design and screen locations are highly site specific, and must be proposed by the applicant and evaluated by the hydrologist.  Current GWS practice is to allow screened intervals of up to 60 feet, as a compromise between obtaining acceptably representative samples and cost effectiveness.  If the groundwater level has displayed significant historical fluctuation, or is anticipated to fluctuate significantly in the future, the hydrologist should evaluate a request by the applicant for a longer well screen, or some other appropriate alternative well design.</w:t>
            </w:r>
          </w:p>
          <w:p w:rsidR="000B1CCC" w:rsidRPr="00F050CC" w:rsidRDefault="000B1CCC" w:rsidP="00181A56">
            <w:pPr>
              <w:rPr>
                <w:rFonts w:ascii="Verdana" w:hAnsi="Verdana"/>
                <w:sz w:val="19"/>
                <w:szCs w:val="19"/>
              </w:rPr>
            </w:pPr>
          </w:p>
          <w:p w:rsidR="00181A56" w:rsidRPr="00F050CC" w:rsidRDefault="00181A56" w:rsidP="00181A56">
            <w:pPr>
              <w:rPr>
                <w:rFonts w:ascii="Verdana" w:hAnsi="Verdana"/>
                <w:b/>
                <w:sz w:val="19"/>
                <w:szCs w:val="19"/>
                <w:u w:val="single"/>
              </w:rPr>
            </w:pPr>
            <w:r w:rsidRPr="00F050CC">
              <w:rPr>
                <w:rFonts w:ascii="Verdana" w:hAnsi="Verdana"/>
                <w:b/>
                <w:sz w:val="19"/>
                <w:szCs w:val="19"/>
                <w:u w:val="single"/>
              </w:rPr>
              <w:t>Monitoring Protocols</w:t>
            </w:r>
          </w:p>
          <w:p w:rsidR="00181A56" w:rsidRPr="00F050CC" w:rsidRDefault="00181A56" w:rsidP="00181A56">
            <w:pPr>
              <w:rPr>
                <w:rFonts w:ascii="Verdana" w:hAnsi="Verdana"/>
                <w:b/>
                <w:sz w:val="19"/>
                <w:szCs w:val="19"/>
                <w:u w:val="single"/>
              </w:rPr>
            </w:pPr>
          </w:p>
          <w:p w:rsidR="00181A56" w:rsidRPr="00F050CC" w:rsidRDefault="00181A56" w:rsidP="00181A56">
            <w:pPr>
              <w:rPr>
                <w:rFonts w:ascii="Verdana" w:hAnsi="Verdana"/>
                <w:sz w:val="19"/>
                <w:szCs w:val="19"/>
              </w:rPr>
            </w:pPr>
            <w:r w:rsidRPr="00F050CC">
              <w:rPr>
                <w:rFonts w:ascii="Verdana" w:hAnsi="Verdana"/>
                <w:sz w:val="19"/>
                <w:szCs w:val="19"/>
              </w:rPr>
              <w:t>Monitoring protocols are defined in the current APP framework.</w:t>
            </w:r>
          </w:p>
          <w:p w:rsidR="00181A56" w:rsidRPr="00F050CC" w:rsidRDefault="00181A56" w:rsidP="00181A56">
            <w:pPr>
              <w:rPr>
                <w:rFonts w:ascii="Verdana" w:hAnsi="Verdana"/>
                <w:b/>
                <w:sz w:val="19"/>
                <w:szCs w:val="19"/>
                <w:u w:val="single"/>
              </w:rPr>
            </w:pPr>
          </w:p>
          <w:p w:rsidR="00181A56" w:rsidRPr="00F050CC" w:rsidRDefault="00181A56" w:rsidP="00181A56">
            <w:pPr>
              <w:rPr>
                <w:rFonts w:ascii="Verdana" w:hAnsi="Verdana"/>
                <w:b/>
                <w:sz w:val="19"/>
                <w:szCs w:val="19"/>
                <w:u w:val="single"/>
              </w:rPr>
            </w:pPr>
            <w:r w:rsidRPr="00F050CC">
              <w:rPr>
                <w:rFonts w:ascii="Verdana" w:hAnsi="Verdana"/>
                <w:b/>
                <w:sz w:val="19"/>
                <w:szCs w:val="19"/>
                <w:u w:val="single"/>
              </w:rPr>
              <w:t xml:space="preserve">Significant Amendments </w:t>
            </w:r>
          </w:p>
          <w:p w:rsidR="00181A56" w:rsidRPr="00F050CC" w:rsidRDefault="00181A56" w:rsidP="00181A56">
            <w:pPr>
              <w:rPr>
                <w:rFonts w:ascii="Verdana" w:hAnsi="Verdana"/>
                <w:b/>
                <w:sz w:val="19"/>
                <w:szCs w:val="19"/>
                <w:u w:val="single"/>
              </w:rPr>
            </w:pPr>
          </w:p>
          <w:p w:rsidR="00181A56" w:rsidRPr="00F050CC" w:rsidRDefault="00181A56" w:rsidP="00181A56">
            <w:pPr>
              <w:rPr>
                <w:rFonts w:ascii="Verdana" w:hAnsi="Verdana"/>
                <w:sz w:val="19"/>
                <w:szCs w:val="19"/>
              </w:rPr>
            </w:pPr>
            <w:r w:rsidRPr="00F050CC">
              <w:rPr>
                <w:rFonts w:ascii="Verdana" w:hAnsi="Verdana"/>
                <w:sz w:val="19"/>
                <w:szCs w:val="19"/>
              </w:rPr>
              <w:t>The Significant Amendment application should include the same information that is generally included in an individual APP application.  Certain information may not be required if no changes to that information have occurred since permit issuance, and the significant amendment does not require changes to that information.  The hydrologist should be alert for potential changes to the PMA, required POC locations, or monitoring programs that will be necessary based upon the changes proposed in the amendment application.  Based upon any changes to the volume, location, or characteristics of the discharge, the DIA may also need to be re-evaluated.</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sz w:val="19"/>
                <w:szCs w:val="19"/>
              </w:rPr>
            </w:pPr>
            <w:r w:rsidRPr="00F050CC">
              <w:rPr>
                <w:rFonts w:ascii="Verdana" w:hAnsi="Verdana"/>
                <w:b/>
                <w:sz w:val="19"/>
                <w:szCs w:val="19"/>
                <w:u w:val="single"/>
              </w:rPr>
              <w:t>Recharge Issues</w:t>
            </w:r>
          </w:p>
          <w:p w:rsidR="00181A56" w:rsidRPr="00F050CC" w:rsidRDefault="00181A56" w:rsidP="00181A56">
            <w:pPr>
              <w:rPr>
                <w:rFonts w:ascii="Verdana" w:hAnsi="Verdana"/>
                <w:sz w:val="19"/>
                <w:szCs w:val="19"/>
              </w:rPr>
            </w:pPr>
          </w:p>
          <w:p w:rsidR="00181A56" w:rsidRPr="00F050CC" w:rsidRDefault="00181A56" w:rsidP="00181A56">
            <w:pPr>
              <w:rPr>
                <w:rFonts w:ascii="Verdana" w:hAnsi="Verdana"/>
                <w:sz w:val="19"/>
                <w:szCs w:val="19"/>
              </w:rPr>
            </w:pPr>
            <w:r w:rsidRPr="00F050CC">
              <w:rPr>
                <w:rFonts w:ascii="Verdana" w:hAnsi="Verdana"/>
                <w:sz w:val="19"/>
                <w:szCs w:val="19"/>
              </w:rPr>
              <w:t>Some Individual Aquifer Protection Permits are issued for facilities for which the Arizona Department of Water Resources (ADWR) issues Underground Storage Facility (USF) permits.  These APPs involve recharge (vadose zone recharge wells, deep injection wells, or recharge basins) as an end use.  ADWR USF permit provisions regulate minimum depth to water and require groundwater quality monitoring.  The project hydrologist should contact ADWR to identify the following:</w:t>
            </w:r>
          </w:p>
          <w:p w:rsidR="00181A56" w:rsidRPr="00F050CC" w:rsidRDefault="00181A56" w:rsidP="00181A56">
            <w:pPr>
              <w:rPr>
                <w:rFonts w:ascii="Verdana" w:hAnsi="Verdana"/>
                <w:sz w:val="19"/>
                <w:szCs w:val="19"/>
              </w:rPr>
            </w:pPr>
          </w:p>
          <w:p w:rsidR="00181A56" w:rsidRPr="00F050CC" w:rsidRDefault="00181A56" w:rsidP="00181A56">
            <w:pPr>
              <w:tabs>
                <w:tab w:val="left" w:pos="360"/>
              </w:tabs>
              <w:rPr>
                <w:rFonts w:ascii="Verdana" w:hAnsi="Verdana"/>
                <w:sz w:val="19"/>
                <w:szCs w:val="19"/>
              </w:rPr>
            </w:pPr>
            <w:r w:rsidRPr="00F050CC">
              <w:rPr>
                <w:rFonts w:ascii="Verdana" w:hAnsi="Verdana"/>
                <w:sz w:val="19"/>
                <w:szCs w:val="19"/>
              </w:rPr>
              <w:t>1.</w:t>
            </w:r>
            <w:r w:rsidRPr="00F050CC">
              <w:rPr>
                <w:rFonts w:ascii="Verdana" w:hAnsi="Verdana"/>
                <w:sz w:val="19"/>
                <w:szCs w:val="19"/>
              </w:rPr>
              <w:tab/>
              <w:t>Any unique issues related to the USF permit.</w:t>
            </w:r>
          </w:p>
          <w:p w:rsidR="00181A56" w:rsidRPr="00F050CC" w:rsidRDefault="00181A56" w:rsidP="00181A56">
            <w:pPr>
              <w:tabs>
                <w:tab w:val="left" w:pos="360"/>
              </w:tabs>
              <w:rPr>
                <w:rFonts w:ascii="Verdana" w:hAnsi="Verdana"/>
                <w:sz w:val="19"/>
                <w:szCs w:val="19"/>
              </w:rPr>
            </w:pPr>
            <w:r w:rsidRPr="00F050CC">
              <w:rPr>
                <w:rFonts w:ascii="Verdana" w:hAnsi="Verdana"/>
                <w:sz w:val="19"/>
                <w:szCs w:val="19"/>
              </w:rPr>
              <w:t>2.</w:t>
            </w:r>
            <w:r w:rsidRPr="00F050CC">
              <w:rPr>
                <w:rFonts w:ascii="Verdana" w:hAnsi="Verdana"/>
                <w:sz w:val="19"/>
                <w:szCs w:val="19"/>
              </w:rPr>
              <w:tab/>
              <w:t>The locations of any nearby USF permits.</w:t>
            </w:r>
          </w:p>
          <w:p w:rsidR="00181A56" w:rsidRPr="00F050CC" w:rsidRDefault="00181A56" w:rsidP="00181A56">
            <w:pPr>
              <w:tabs>
                <w:tab w:val="left" w:pos="360"/>
              </w:tabs>
              <w:ind w:left="360" w:hanging="360"/>
              <w:rPr>
                <w:rFonts w:ascii="Verdana" w:hAnsi="Verdana"/>
                <w:sz w:val="19"/>
                <w:szCs w:val="19"/>
              </w:rPr>
            </w:pPr>
            <w:r w:rsidRPr="00F050CC">
              <w:rPr>
                <w:rFonts w:ascii="Verdana" w:hAnsi="Verdana"/>
                <w:sz w:val="19"/>
                <w:szCs w:val="19"/>
              </w:rPr>
              <w:t>3.</w:t>
            </w:r>
            <w:r w:rsidRPr="00F050CC">
              <w:rPr>
                <w:rFonts w:ascii="Verdana" w:hAnsi="Verdana"/>
                <w:sz w:val="19"/>
                <w:szCs w:val="19"/>
              </w:rPr>
              <w:tab/>
              <w:t>The proposed monitoring and AL/Operation Prohibition Limits (OPLs) for the ADWR USF permit.</w:t>
            </w:r>
          </w:p>
          <w:p w:rsidR="00181A56" w:rsidRPr="00F050CC" w:rsidRDefault="00181A56" w:rsidP="00181A56">
            <w:pPr>
              <w:tabs>
                <w:tab w:val="left" w:pos="360"/>
              </w:tabs>
              <w:ind w:left="360" w:hanging="360"/>
              <w:rPr>
                <w:rFonts w:ascii="Verdana" w:hAnsi="Verdana"/>
                <w:sz w:val="19"/>
                <w:szCs w:val="19"/>
              </w:rPr>
            </w:pPr>
            <w:r w:rsidRPr="00F050CC">
              <w:rPr>
                <w:rFonts w:ascii="Verdana" w:hAnsi="Verdana"/>
                <w:sz w:val="19"/>
                <w:szCs w:val="19"/>
              </w:rPr>
              <w:t>4.</w:t>
            </w:r>
            <w:r w:rsidRPr="00F050CC">
              <w:rPr>
                <w:rFonts w:ascii="Verdana" w:hAnsi="Verdana"/>
                <w:sz w:val="19"/>
                <w:szCs w:val="19"/>
              </w:rPr>
              <w:tab/>
              <w:t>Any other common provisions between the APP and USF permits.</w:t>
            </w:r>
          </w:p>
          <w:p w:rsidR="00181A56" w:rsidRPr="00F050CC" w:rsidRDefault="00181A56" w:rsidP="00181A56">
            <w:pPr>
              <w:tabs>
                <w:tab w:val="left" w:pos="360"/>
              </w:tabs>
              <w:ind w:left="360" w:hanging="360"/>
              <w:rPr>
                <w:rFonts w:ascii="Verdana" w:hAnsi="Verdana"/>
                <w:sz w:val="19"/>
                <w:szCs w:val="19"/>
              </w:rPr>
            </w:pPr>
          </w:p>
          <w:p w:rsidR="001D732E" w:rsidRPr="00181A56" w:rsidRDefault="00181A56" w:rsidP="00181A56">
            <w:pPr>
              <w:tabs>
                <w:tab w:val="left" w:pos="0"/>
              </w:tabs>
              <w:rPr>
                <w:rFonts w:ascii="Verdana" w:hAnsi="Verdana"/>
                <w:sz w:val="20"/>
                <w:szCs w:val="20"/>
              </w:rPr>
            </w:pPr>
            <w:r w:rsidRPr="00F050CC">
              <w:rPr>
                <w:rFonts w:ascii="Verdana" w:hAnsi="Verdana"/>
                <w:sz w:val="19"/>
                <w:szCs w:val="19"/>
              </w:rPr>
              <w:t>If possible, APP monitoring provisions should be consistent with ADWR USF monitoring provisions.  Draft monitoring tables should be sent to the ADWR project hydrologist for review.</w:t>
            </w:r>
          </w:p>
        </w:tc>
      </w:tr>
      <w:tr w:rsidR="003D50EE" w:rsidTr="00B3157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jc w:val="center"/>
        </w:trPr>
        <w:tc>
          <w:tcPr>
            <w:tcW w:w="605" w:type="dxa"/>
            <w:vAlign w:val="center"/>
          </w:tcPr>
          <w:p w:rsidR="003D50EE" w:rsidRPr="00CB065F" w:rsidRDefault="003D50EE" w:rsidP="003D242C">
            <w:pPr>
              <w:jc w:val="center"/>
              <w:rPr>
                <w:rFonts w:ascii="Verdana" w:hAnsi="Verdana" w:cs="Arial"/>
                <w:color w:val="0000FF"/>
                <w:sz w:val="18"/>
                <w:szCs w:val="18"/>
              </w:rPr>
            </w:pPr>
          </w:p>
        </w:tc>
        <w:tc>
          <w:tcPr>
            <w:tcW w:w="10325" w:type="dxa"/>
            <w:gridSpan w:val="2"/>
            <w:tcMar>
              <w:top w:w="14" w:type="dxa"/>
              <w:left w:w="58" w:type="dxa"/>
              <w:bottom w:w="14" w:type="dxa"/>
              <w:right w:w="58" w:type="dxa"/>
            </w:tcMar>
            <w:vAlign w:val="center"/>
          </w:tcPr>
          <w:p w:rsidR="003D50EE" w:rsidRPr="00F050CC" w:rsidRDefault="003D50EE" w:rsidP="00181A56">
            <w:pPr>
              <w:rPr>
                <w:rFonts w:ascii="Verdana" w:hAnsi="Verdana"/>
                <w:sz w:val="19"/>
                <w:szCs w:val="19"/>
              </w:rPr>
            </w:pPr>
          </w:p>
        </w:tc>
      </w:tr>
    </w:tbl>
    <w:p w:rsidR="001D732E" w:rsidRDefault="001D732E" w:rsidP="00B31575"/>
    <w:sectPr w:rsidR="001D732E" w:rsidSect="0023354C">
      <w:headerReference w:type="default" r:id="rId24"/>
      <w:footerReference w:type="default" r:id="rId25"/>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32" w:rsidRDefault="00536F32">
      <w:r>
        <w:separator/>
      </w:r>
    </w:p>
  </w:endnote>
  <w:endnote w:type="continuationSeparator" w:id="0">
    <w:p w:rsidR="00536F32" w:rsidRDefault="0053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P Greek Courier">
    <w:altName w:val="Symbol"/>
    <w:charset w:val="02"/>
    <w:family w:val="modern"/>
    <w:pitch w:val="fixed"/>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32" w:rsidRDefault="00536F32">
    <w:pPr>
      <w:pStyle w:val="Footer"/>
    </w:pPr>
    <w:r>
      <w:t xml:space="preserve"> </w:t>
    </w:r>
    <w:r w:rsidR="00A52AA2">
      <w:t>Novem</w:t>
    </w:r>
    <w:r>
      <w:t>ber 2014</w:t>
    </w:r>
    <w:r>
      <w:tab/>
      <w:t>Hydrology checklist</w:t>
    </w:r>
    <w:r>
      <w:tab/>
    </w:r>
    <w:r>
      <w:tab/>
      <w:t xml:space="preserve">Page </w:t>
    </w:r>
    <w:r>
      <w:fldChar w:fldCharType="begin"/>
    </w:r>
    <w:r>
      <w:instrText xml:space="preserve"> PAGE </w:instrText>
    </w:r>
    <w:r>
      <w:fldChar w:fldCharType="separate"/>
    </w:r>
    <w:r w:rsidR="00A43238">
      <w:rPr>
        <w:noProof/>
      </w:rPr>
      <w:t>7</w:t>
    </w:r>
    <w:r>
      <w:fldChar w:fldCharType="end"/>
    </w:r>
    <w:r>
      <w:t xml:space="preserve"> of </w:t>
    </w:r>
    <w:r w:rsidR="00A43238">
      <w:fldChar w:fldCharType="begin"/>
    </w:r>
    <w:r w:rsidR="00A43238">
      <w:instrText xml:space="preserve"> NUMPAGES </w:instrText>
    </w:r>
    <w:r w:rsidR="00A43238">
      <w:fldChar w:fldCharType="separate"/>
    </w:r>
    <w:r w:rsidR="00A43238">
      <w:rPr>
        <w:noProof/>
      </w:rPr>
      <w:t>10</w:t>
    </w:r>
    <w:r w:rsidR="00A43238">
      <w:rPr>
        <w:noProof/>
      </w:rPr>
      <w:fldChar w:fldCharType="end"/>
    </w:r>
  </w:p>
  <w:p w:rsidR="00536F32" w:rsidRDefault="00536F32" w:rsidP="00C66AD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32" w:rsidRDefault="00536F32">
      <w:r>
        <w:separator/>
      </w:r>
    </w:p>
  </w:footnote>
  <w:footnote w:type="continuationSeparator" w:id="0">
    <w:p w:rsidR="00536F32" w:rsidRDefault="00536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32" w:rsidRDefault="00536F32">
    <w:pPr>
      <w:pStyle w:val="Header"/>
    </w:pPr>
    <w:r>
      <w:rPr>
        <w:noProof/>
      </w:rPr>
      <mc:AlternateContent>
        <mc:Choice Requires="wps">
          <w:drawing>
            <wp:anchor distT="0" distB="0" distL="114300" distR="114300" simplePos="0" relativeHeight="251657216" behindDoc="0" locked="0" layoutInCell="1" allowOverlap="1" wp14:anchorId="58648FDE" wp14:editId="24F029FE">
              <wp:simplePos x="0" y="0"/>
              <wp:positionH relativeFrom="column">
                <wp:posOffset>2743200</wp:posOffset>
              </wp:positionH>
              <wp:positionV relativeFrom="paragraph">
                <wp:posOffset>45720</wp:posOffset>
              </wp:positionV>
              <wp:extent cx="3945255" cy="79248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F32" w:rsidRDefault="00536F32" w:rsidP="00E43088">
                          <w:pPr>
                            <w:ind w:left="-798"/>
                            <w:jc w:val="center"/>
                            <w:rPr>
                              <w:b/>
                              <w:bCs/>
                              <w:sz w:val="32"/>
                              <w:szCs w:val="32"/>
                            </w:rPr>
                          </w:pPr>
                          <w:r>
                            <w:rPr>
                              <w:b/>
                              <w:bCs/>
                              <w:sz w:val="32"/>
                              <w:szCs w:val="32"/>
                            </w:rPr>
                            <w:t xml:space="preserve">Individual Aquifer Protection Permit </w:t>
                          </w:r>
                        </w:p>
                        <w:p w:rsidR="00536F32" w:rsidRDefault="00536F32" w:rsidP="00E43088">
                          <w:pPr>
                            <w:ind w:left="-798"/>
                            <w:jc w:val="center"/>
                            <w:rPr>
                              <w:b/>
                              <w:bCs/>
                              <w:sz w:val="32"/>
                              <w:szCs w:val="32"/>
                            </w:rPr>
                          </w:pPr>
                          <w:r>
                            <w:rPr>
                              <w:b/>
                              <w:bCs/>
                              <w:sz w:val="32"/>
                              <w:szCs w:val="32"/>
                            </w:rPr>
                            <w:t>Hydrology Substantive</w:t>
                          </w:r>
                        </w:p>
                        <w:p w:rsidR="00536F32" w:rsidRPr="00483297" w:rsidRDefault="00536F32" w:rsidP="00E43088">
                          <w:pPr>
                            <w:ind w:left="-798"/>
                            <w:jc w:val="center"/>
                            <w:rPr>
                              <w:b/>
                              <w:bCs/>
                              <w:sz w:val="32"/>
                              <w:szCs w:val="32"/>
                            </w:rPr>
                          </w:pPr>
                          <w:r>
                            <w:rPr>
                              <w:b/>
                              <w:bCs/>
                              <w:sz w:val="32"/>
                              <w:szCs w:val="32"/>
                            </w:rPr>
                            <w:t>Review Checklist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in;margin-top:3.6pt;width:310.65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" stroked="f">
              <v:textbox style="mso-fit-shape-to-text:t">
                <w:txbxContent>
                  <w:p w:rsidR="00207558" w:rsidRDefault="00207558" w:rsidP="00E43088">
                    <w:pPr>
                      <w:ind w:left="-798"/>
                      <w:jc w:val="center"/>
                      <w:rPr>
                        <w:b/>
                        <w:bCs/>
                        <w:sz w:val="32"/>
                        <w:szCs w:val="32"/>
                      </w:rPr>
                    </w:pPr>
                    <w:r>
                      <w:rPr>
                        <w:b/>
                        <w:bCs/>
                        <w:sz w:val="32"/>
                        <w:szCs w:val="32"/>
                      </w:rPr>
                      <w:t xml:space="preserve">Individual Aquifer Protection Permit </w:t>
                    </w:r>
                  </w:p>
                  <w:p w:rsidR="00207558" w:rsidRDefault="00207558" w:rsidP="00E43088">
                    <w:pPr>
                      <w:ind w:left="-798"/>
                      <w:jc w:val="center"/>
                      <w:rPr>
                        <w:b/>
                        <w:bCs/>
                        <w:sz w:val="32"/>
                        <w:szCs w:val="32"/>
                      </w:rPr>
                    </w:pPr>
                    <w:r>
                      <w:rPr>
                        <w:b/>
                        <w:bCs/>
                        <w:sz w:val="32"/>
                        <w:szCs w:val="32"/>
                      </w:rPr>
                      <w:t>Hydrology Substantive</w:t>
                    </w:r>
                  </w:p>
                  <w:p w:rsidR="00207558" w:rsidRPr="00483297" w:rsidRDefault="00207558" w:rsidP="00E43088">
                    <w:pPr>
                      <w:ind w:left="-798"/>
                      <w:jc w:val="center"/>
                      <w:rPr>
                        <w:b/>
                        <w:bCs/>
                        <w:sz w:val="32"/>
                        <w:szCs w:val="32"/>
                      </w:rPr>
                    </w:pPr>
                    <w:r>
                      <w:rPr>
                        <w:b/>
                        <w:bCs/>
                        <w:sz w:val="32"/>
                        <w:szCs w:val="32"/>
                      </w:rPr>
                      <w:t>Review Checklist</w:t>
                    </w:r>
                  </w:p>
                </w:txbxContent>
              </v:textbox>
              <w10:wrap type="square"/>
            </v:shape>
          </w:pict>
        </mc:Fallback>
      </mc:AlternateContent>
    </w:r>
    <w:r>
      <w:rPr>
        <w:noProof/>
      </w:rPr>
      <w:drawing>
        <wp:anchor distT="0" distB="0" distL="114300" distR="114300" simplePos="0" relativeHeight="251658240" behindDoc="0" locked="0" layoutInCell="1" allowOverlap="1" wp14:anchorId="2C87AFCB" wp14:editId="6C6FD343">
          <wp:simplePos x="0" y="0"/>
          <wp:positionH relativeFrom="column">
            <wp:posOffset>228600</wp:posOffset>
          </wp:positionH>
          <wp:positionV relativeFrom="paragraph">
            <wp:posOffset>45720</wp:posOffset>
          </wp:positionV>
          <wp:extent cx="2316480" cy="832485"/>
          <wp:effectExtent l="0" t="0" r="0" b="0"/>
          <wp:wrapSquare wrapText="bothSides"/>
          <wp:docPr id="2" name="Picture 2" descr="adeqcol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eqcol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105"/>
    <w:multiLevelType w:val="hybridMultilevel"/>
    <w:tmpl w:val="B142A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D078C7"/>
    <w:multiLevelType w:val="hybridMultilevel"/>
    <w:tmpl w:val="17BCD98C"/>
    <w:lvl w:ilvl="0" w:tplc="DD8835F8">
      <w:start w:val="1"/>
      <w:numFmt w:val="decimal"/>
      <w:lvlText w:val="%1."/>
      <w:lvlJc w:val="left"/>
      <w:pPr>
        <w:tabs>
          <w:tab w:val="num" w:pos="2520"/>
        </w:tabs>
        <w:ind w:left="2520" w:hanging="360"/>
      </w:pPr>
      <w:rPr>
        <w:rFonts w:hint="default"/>
      </w:rPr>
    </w:lvl>
    <w:lvl w:ilvl="1" w:tplc="777C69B8">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7C981A4F"/>
    <w:multiLevelType w:val="hybridMultilevel"/>
    <w:tmpl w:val="7DB04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EB"/>
    <w:rsid w:val="00001875"/>
    <w:rsid w:val="0000720A"/>
    <w:rsid w:val="0000735C"/>
    <w:rsid w:val="0001061D"/>
    <w:rsid w:val="00010FF0"/>
    <w:rsid w:val="00012100"/>
    <w:rsid w:val="00017515"/>
    <w:rsid w:val="00020A7E"/>
    <w:rsid w:val="0002210F"/>
    <w:rsid w:val="0002375F"/>
    <w:rsid w:val="00025DC1"/>
    <w:rsid w:val="00026F77"/>
    <w:rsid w:val="00027A3E"/>
    <w:rsid w:val="00027D60"/>
    <w:rsid w:val="000300B1"/>
    <w:rsid w:val="000300EA"/>
    <w:rsid w:val="00030628"/>
    <w:rsid w:val="0003072A"/>
    <w:rsid w:val="00031712"/>
    <w:rsid w:val="00031788"/>
    <w:rsid w:val="000320BD"/>
    <w:rsid w:val="00032F5D"/>
    <w:rsid w:val="00034B15"/>
    <w:rsid w:val="0004001D"/>
    <w:rsid w:val="000423AF"/>
    <w:rsid w:val="000426A3"/>
    <w:rsid w:val="00042C89"/>
    <w:rsid w:val="00043FB6"/>
    <w:rsid w:val="00046654"/>
    <w:rsid w:val="00046D39"/>
    <w:rsid w:val="000470F1"/>
    <w:rsid w:val="00047410"/>
    <w:rsid w:val="00050C1C"/>
    <w:rsid w:val="00050E11"/>
    <w:rsid w:val="000512DD"/>
    <w:rsid w:val="000522FB"/>
    <w:rsid w:val="00052CE7"/>
    <w:rsid w:val="000544CF"/>
    <w:rsid w:val="00055E70"/>
    <w:rsid w:val="00056F93"/>
    <w:rsid w:val="00057A65"/>
    <w:rsid w:val="00057BC7"/>
    <w:rsid w:val="00060177"/>
    <w:rsid w:val="00063056"/>
    <w:rsid w:val="0006373B"/>
    <w:rsid w:val="00064B1D"/>
    <w:rsid w:val="000662C3"/>
    <w:rsid w:val="000675E3"/>
    <w:rsid w:val="00070331"/>
    <w:rsid w:val="000704E4"/>
    <w:rsid w:val="00070A1E"/>
    <w:rsid w:val="00071EB1"/>
    <w:rsid w:val="000736FB"/>
    <w:rsid w:val="0007375D"/>
    <w:rsid w:val="00077F37"/>
    <w:rsid w:val="00080CD0"/>
    <w:rsid w:val="00081EF2"/>
    <w:rsid w:val="0008235A"/>
    <w:rsid w:val="0008262B"/>
    <w:rsid w:val="0008346F"/>
    <w:rsid w:val="00083663"/>
    <w:rsid w:val="00084AF0"/>
    <w:rsid w:val="00085E25"/>
    <w:rsid w:val="00086E8C"/>
    <w:rsid w:val="000871B8"/>
    <w:rsid w:val="00087F09"/>
    <w:rsid w:val="000902B9"/>
    <w:rsid w:val="00090BCF"/>
    <w:rsid w:val="000910C0"/>
    <w:rsid w:val="000920F9"/>
    <w:rsid w:val="00092494"/>
    <w:rsid w:val="00093927"/>
    <w:rsid w:val="00095004"/>
    <w:rsid w:val="0009509D"/>
    <w:rsid w:val="00095796"/>
    <w:rsid w:val="0009637F"/>
    <w:rsid w:val="00096CB4"/>
    <w:rsid w:val="00097335"/>
    <w:rsid w:val="00097889"/>
    <w:rsid w:val="00097A8B"/>
    <w:rsid w:val="000A03D2"/>
    <w:rsid w:val="000A091F"/>
    <w:rsid w:val="000A100A"/>
    <w:rsid w:val="000A2189"/>
    <w:rsid w:val="000A23A6"/>
    <w:rsid w:val="000A2957"/>
    <w:rsid w:val="000A3025"/>
    <w:rsid w:val="000A5F06"/>
    <w:rsid w:val="000A7476"/>
    <w:rsid w:val="000A7CD7"/>
    <w:rsid w:val="000B0587"/>
    <w:rsid w:val="000B1A36"/>
    <w:rsid w:val="000B1CCC"/>
    <w:rsid w:val="000B5547"/>
    <w:rsid w:val="000B656C"/>
    <w:rsid w:val="000B750F"/>
    <w:rsid w:val="000B758E"/>
    <w:rsid w:val="000B77D6"/>
    <w:rsid w:val="000C27A7"/>
    <w:rsid w:val="000C562A"/>
    <w:rsid w:val="000C6C9A"/>
    <w:rsid w:val="000C7329"/>
    <w:rsid w:val="000D05A6"/>
    <w:rsid w:val="000D15B0"/>
    <w:rsid w:val="000D1826"/>
    <w:rsid w:val="000D1C50"/>
    <w:rsid w:val="000D2AD2"/>
    <w:rsid w:val="000D2B7A"/>
    <w:rsid w:val="000D3576"/>
    <w:rsid w:val="000D3E18"/>
    <w:rsid w:val="000D42D2"/>
    <w:rsid w:val="000D5182"/>
    <w:rsid w:val="000D62A7"/>
    <w:rsid w:val="000D65FC"/>
    <w:rsid w:val="000D68D2"/>
    <w:rsid w:val="000D68DA"/>
    <w:rsid w:val="000E511D"/>
    <w:rsid w:val="000E5975"/>
    <w:rsid w:val="000F0723"/>
    <w:rsid w:val="000F1C2B"/>
    <w:rsid w:val="000F399B"/>
    <w:rsid w:val="000F3D44"/>
    <w:rsid w:val="000F411B"/>
    <w:rsid w:val="000F474F"/>
    <w:rsid w:val="00100911"/>
    <w:rsid w:val="001036F3"/>
    <w:rsid w:val="0010396A"/>
    <w:rsid w:val="001041C3"/>
    <w:rsid w:val="001049E5"/>
    <w:rsid w:val="00105071"/>
    <w:rsid w:val="001074B5"/>
    <w:rsid w:val="00110864"/>
    <w:rsid w:val="00111F5D"/>
    <w:rsid w:val="001166FC"/>
    <w:rsid w:val="00117CEA"/>
    <w:rsid w:val="00117FC4"/>
    <w:rsid w:val="001206A0"/>
    <w:rsid w:val="0012361B"/>
    <w:rsid w:val="0012701C"/>
    <w:rsid w:val="001274C9"/>
    <w:rsid w:val="00130E10"/>
    <w:rsid w:val="001310BB"/>
    <w:rsid w:val="001316D0"/>
    <w:rsid w:val="00132CBC"/>
    <w:rsid w:val="00134E3D"/>
    <w:rsid w:val="00136E6F"/>
    <w:rsid w:val="00141070"/>
    <w:rsid w:val="0014300B"/>
    <w:rsid w:val="0014580E"/>
    <w:rsid w:val="00150BFF"/>
    <w:rsid w:val="00152D23"/>
    <w:rsid w:val="00154303"/>
    <w:rsid w:val="0015757B"/>
    <w:rsid w:val="001600DB"/>
    <w:rsid w:val="001634F3"/>
    <w:rsid w:val="00163CCB"/>
    <w:rsid w:val="00164A6D"/>
    <w:rsid w:val="00165E6F"/>
    <w:rsid w:val="00166DA6"/>
    <w:rsid w:val="001677C3"/>
    <w:rsid w:val="00171E29"/>
    <w:rsid w:val="0017209D"/>
    <w:rsid w:val="00172265"/>
    <w:rsid w:val="00180D90"/>
    <w:rsid w:val="00180F2B"/>
    <w:rsid w:val="00181A56"/>
    <w:rsid w:val="00181D2A"/>
    <w:rsid w:val="00182CDB"/>
    <w:rsid w:val="00183936"/>
    <w:rsid w:val="001849AE"/>
    <w:rsid w:val="00184D93"/>
    <w:rsid w:val="00185C88"/>
    <w:rsid w:val="00190274"/>
    <w:rsid w:val="0019436E"/>
    <w:rsid w:val="00196CD8"/>
    <w:rsid w:val="00197F38"/>
    <w:rsid w:val="001A236E"/>
    <w:rsid w:val="001A2D30"/>
    <w:rsid w:val="001A454C"/>
    <w:rsid w:val="001A46AE"/>
    <w:rsid w:val="001A5C4C"/>
    <w:rsid w:val="001A6D32"/>
    <w:rsid w:val="001A70DD"/>
    <w:rsid w:val="001B0AEE"/>
    <w:rsid w:val="001B2007"/>
    <w:rsid w:val="001B315B"/>
    <w:rsid w:val="001B4CD3"/>
    <w:rsid w:val="001B4E36"/>
    <w:rsid w:val="001B5B4D"/>
    <w:rsid w:val="001B7F1F"/>
    <w:rsid w:val="001C2A74"/>
    <w:rsid w:val="001C318A"/>
    <w:rsid w:val="001C3866"/>
    <w:rsid w:val="001C3E8B"/>
    <w:rsid w:val="001C51D9"/>
    <w:rsid w:val="001C561B"/>
    <w:rsid w:val="001C63B5"/>
    <w:rsid w:val="001C6692"/>
    <w:rsid w:val="001C7AD9"/>
    <w:rsid w:val="001D0037"/>
    <w:rsid w:val="001D07ED"/>
    <w:rsid w:val="001D226D"/>
    <w:rsid w:val="001D33D3"/>
    <w:rsid w:val="001D3987"/>
    <w:rsid w:val="001D453C"/>
    <w:rsid w:val="001D4763"/>
    <w:rsid w:val="001D6E5D"/>
    <w:rsid w:val="001D72D1"/>
    <w:rsid w:val="001D732E"/>
    <w:rsid w:val="001E0974"/>
    <w:rsid w:val="001E34E0"/>
    <w:rsid w:val="001E48EB"/>
    <w:rsid w:val="001E5AF7"/>
    <w:rsid w:val="001F06DD"/>
    <w:rsid w:val="001F2711"/>
    <w:rsid w:val="001F278D"/>
    <w:rsid w:val="001F3DDC"/>
    <w:rsid w:val="001F6642"/>
    <w:rsid w:val="001F6F22"/>
    <w:rsid w:val="001F6FC5"/>
    <w:rsid w:val="001F7549"/>
    <w:rsid w:val="00202006"/>
    <w:rsid w:val="00202127"/>
    <w:rsid w:val="00203AC9"/>
    <w:rsid w:val="002046D1"/>
    <w:rsid w:val="00207558"/>
    <w:rsid w:val="002078F5"/>
    <w:rsid w:val="00211008"/>
    <w:rsid w:val="00211754"/>
    <w:rsid w:val="002134CA"/>
    <w:rsid w:val="00213AAA"/>
    <w:rsid w:val="0022035F"/>
    <w:rsid w:val="00220AFD"/>
    <w:rsid w:val="002213C7"/>
    <w:rsid w:val="00221C45"/>
    <w:rsid w:val="00224505"/>
    <w:rsid w:val="0022462D"/>
    <w:rsid w:val="00226971"/>
    <w:rsid w:val="0023058C"/>
    <w:rsid w:val="00230C09"/>
    <w:rsid w:val="00230D86"/>
    <w:rsid w:val="00232B9C"/>
    <w:rsid w:val="0023354C"/>
    <w:rsid w:val="00233762"/>
    <w:rsid w:val="00235010"/>
    <w:rsid w:val="00236F51"/>
    <w:rsid w:val="00236FAD"/>
    <w:rsid w:val="00240A75"/>
    <w:rsid w:val="00242956"/>
    <w:rsid w:val="002462D1"/>
    <w:rsid w:val="002464D6"/>
    <w:rsid w:val="002468D2"/>
    <w:rsid w:val="00246BDF"/>
    <w:rsid w:val="00247C32"/>
    <w:rsid w:val="00247EC9"/>
    <w:rsid w:val="0025356F"/>
    <w:rsid w:val="00254473"/>
    <w:rsid w:val="0025518A"/>
    <w:rsid w:val="00255F41"/>
    <w:rsid w:val="00260271"/>
    <w:rsid w:val="002624FC"/>
    <w:rsid w:val="002638AF"/>
    <w:rsid w:val="00263BD9"/>
    <w:rsid w:val="00265A19"/>
    <w:rsid w:val="0026657D"/>
    <w:rsid w:val="002670CF"/>
    <w:rsid w:val="00271B2A"/>
    <w:rsid w:val="002755C5"/>
    <w:rsid w:val="002759B0"/>
    <w:rsid w:val="002761D3"/>
    <w:rsid w:val="00276282"/>
    <w:rsid w:val="00276BAE"/>
    <w:rsid w:val="00277D52"/>
    <w:rsid w:val="00281918"/>
    <w:rsid w:val="0028240A"/>
    <w:rsid w:val="00282707"/>
    <w:rsid w:val="002831C6"/>
    <w:rsid w:val="002842C4"/>
    <w:rsid w:val="0028433A"/>
    <w:rsid w:val="002861AA"/>
    <w:rsid w:val="00286442"/>
    <w:rsid w:val="00287630"/>
    <w:rsid w:val="002876C4"/>
    <w:rsid w:val="0029142E"/>
    <w:rsid w:val="002914DB"/>
    <w:rsid w:val="00294EDB"/>
    <w:rsid w:val="00295C0B"/>
    <w:rsid w:val="002967C2"/>
    <w:rsid w:val="00296F5E"/>
    <w:rsid w:val="0029730C"/>
    <w:rsid w:val="00297AEB"/>
    <w:rsid w:val="00297E36"/>
    <w:rsid w:val="002A02CD"/>
    <w:rsid w:val="002A141F"/>
    <w:rsid w:val="002A1622"/>
    <w:rsid w:val="002A23B5"/>
    <w:rsid w:val="002A3128"/>
    <w:rsid w:val="002A395D"/>
    <w:rsid w:val="002A3CDD"/>
    <w:rsid w:val="002A49CD"/>
    <w:rsid w:val="002A5249"/>
    <w:rsid w:val="002A5B0C"/>
    <w:rsid w:val="002B0EAC"/>
    <w:rsid w:val="002B2458"/>
    <w:rsid w:val="002B360A"/>
    <w:rsid w:val="002B3A16"/>
    <w:rsid w:val="002B3CCE"/>
    <w:rsid w:val="002B46E2"/>
    <w:rsid w:val="002B5292"/>
    <w:rsid w:val="002B6B85"/>
    <w:rsid w:val="002B766B"/>
    <w:rsid w:val="002C1184"/>
    <w:rsid w:val="002C2726"/>
    <w:rsid w:val="002C2D6D"/>
    <w:rsid w:val="002C4120"/>
    <w:rsid w:val="002C48B2"/>
    <w:rsid w:val="002C71A1"/>
    <w:rsid w:val="002D1229"/>
    <w:rsid w:val="002D2997"/>
    <w:rsid w:val="002D66A0"/>
    <w:rsid w:val="002D681A"/>
    <w:rsid w:val="002D6935"/>
    <w:rsid w:val="002D6C0A"/>
    <w:rsid w:val="002E0B0A"/>
    <w:rsid w:val="002E17C4"/>
    <w:rsid w:val="002E4F4A"/>
    <w:rsid w:val="002E5117"/>
    <w:rsid w:val="002E513F"/>
    <w:rsid w:val="002E66D1"/>
    <w:rsid w:val="002F00A2"/>
    <w:rsid w:val="002F1647"/>
    <w:rsid w:val="002F1C69"/>
    <w:rsid w:val="002F1C6C"/>
    <w:rsid w:val="002F2B4F"/>
    <w:rsid w:val="002F3D8B"/>
    <w:rsid w:val="002F402A"/>
    <w:rsid w:val="002F65FE"/>
    <w:rsid w:val="002F708D"/>
    <w:rsid w:val="00300019"/>
    <w:rsid w:val="00301302"/>
    <w:rsid w:val="00303417"/>
    <w:rsid w:val="00303EA8"/>
    <w:rsid w:val="003049D7"/>
    <w:rsid w:val="0030512D"/>
    <w:rsid w:val="00306E84"/>
    <w:rsid w:val="00307A77"/>
    <w:rsid w:val="00310714"/>
    <w:rsid w:val="003108F1"/>
    <w:rsid w:val="00311727"/>
    <w:rsid w:val="0031468C"/>
    <w:rsid w:val="00314A9B"/>
    <w:rsid w:val="0031500F"/>
    <w:rsid w:val="00320C79"/>
    <w:rsid w:val="00321DBF"/>
    <w:rsid w:val="00324321"/>
    <w:rsid w:val="0032628B"/>
    <w:rsid w:val="00326360"/>
    <w:rsid w:val="003264EF"/>
    <w:rsid w:val="00326C5C"/>
    <w:rsid w:val="00326F96"/>
    <w:rsid w:val="00331F72"/>
    <w:rsid w:val="0033288A"/>
    <w:rsid w:val="003330CD"/>
    <w:rsid w:val="00333DBD"/>
    <w:rsid w:val="003342DC"/>
    <w:rsid w:val="00334731"/>
    <w:rsid w:val="00334B9B"/>
    <w:rsid w:val="00334F2E"/>
    <w:rsid w:val="003356BA"/>
    <w:rsid w:val="00336917"/>
    <w:rsid w:val="003375F5"/>
    <w:rsid w:val="00340F68"/>
    <w:rsid w:val="0034463F"/>
    <w:rsid w:val="0034612C"/>
    <w:rsid w:val="00350C42"/>
    <w:rsid w:val="00350C44"/>
    <w:rsid w:val="00352560"/>
    <w:rsid w:val="003543C8"/>
    <w:rsid w:val="0035545A"/>
    <w:rsid w:val="00360160"/>
    <w:rsid w:val="0036059C"/>
    <w:rsid w:val="00360DD2"/>
    <w:rsid w:val="003622EC"/>
    <w:rsid w:val="00364633"/>
    <w:rsid w:val="003658B7"/>
    <w:rsid w:val="00365DB9"/>
    <w:rsid w:val="00367745"/>
    <w:rsid w:val="00370D36"/>
    <w:rsid w:val="003718E2"/>
    <w:rsid w:val="00372190"/>
    <w:rsid w:val="0037286B"/>
    <w:rsid w:val="00374C3B"/>
    <w:rsid w:val="00375346"/>
    <w:rsid w:val="00382239"/>
    <w:rsid w:val="00382672"/>
    <w:rsid w:val="00384CFF"/>
    <w:rsid w:val="00385222"/>
    <w:rsid w:val="003855FA"/>
    <w:rsid w:val="00386700"/>
    <w:rsid w:val="0038717F"/>
    <w:rsid w:val="003907E3"/>
    <w:rsid w:val="003909A4"/>
    <w:rsid w:val="0039107E"/>
    <w:rsid w:val="00391DD2"/>
    <w:rsid w:val="00391ED9"/>
    <w:rsid w:val="003935BC"/>
    <w:rsid w:val="00395E34"/>
    <w:rsid w:val="00396B20"/>
    <w:rsid w:val="003A3538"/>
    <w:rsid w:val="003A4B55"/>
    <w:rsid w:val="003A5ACD"/>
    <w:rsid w:val="003A5CED"/>
    <w:rsid w:val="003B1C53"/>
    <w:rsid w:val="003B1C99"/>
    <w:rsid w:val="003B39E3"/>
    <w:rsid w:val="003B57AA"/>
    <w:rsid w:val="003C02A6"/>
    <w:rsid w:val="003C151E"/>
    <w:rsid w:val="003C1BB0"/>
    <w:rsid w:val="003C55ED"/>
    <w:rsid w:val="003C58E6"/>
    <w:rsid w:val="003D0269"/>
    <w:rsid w:val="003D0282"/>
    <w:rsid w:val="003D0C1F"/>
    <w:rsid w:val="003D0D28"/>
    <w:rsid w:val="003D2182"/>
    <w:rsid w:val="003D242C"/>
    <w:rsid w:val="003D2D5E"/>
    <w:rsid w:val="003D50EE"/>
    <w:rsid w:val="003D65E2"/>
    <w:rsid w:val="003E0034"/>
    <w:rsid w:val="003E0585"/>
    <w:rsid w:val="003E07F7"/>
    <w:rsid w:val="003E1545"/>
    <w:rsid w:val="003E36FA"/>
    <w:rsid w:val="003E5C60"/>
    <w:rsid w:val="003E5D8B"/>
    <w:rsid w:val="003E6F18"/>
    <w:rsid w:val="003E78C7"/>
    <w:rsid w:val="003F2CE8"/>
    <w:rsid w:val="003F2E28"/>
    <w:rsid w:val="003F3564"/>
    <w:rsid w:val="003F3EE7"/>
    <w:rsid w:val="003F49B2"/>
    <w:rsid w:val="003F66FA"/>
    <w:rsid w:val="003F70D3"/>
    <w:rsid w:val="003F7F48"/>
    <w:rsid w:val="004005A2"/>
    <w:rsid w:val="00400E5B"/>
    <w:rsid w:val="004017DB"/>
    <w:rsid w:val="00403C6E"/>
    <w:rsid w:val="00405A79"/>
    <w:rsid w:val="00410899"/>
    <w:rsid w:val="0041474B"/>
    <w:rsid w:val="0041485E"/>
    <w:rsid w:val="00415D1D"/>
    <w:rsid w:val="0042067F"/>
    <w:rsid w:val="00420F86"/>
    <w:rsid w:val="00421055"/>
    <w:rsid w:val="00421128"/>
    <w:rsid w:val="00421F90"/>
    <w:rsid w:val="004227CB"/>
    <w:rsid w:val="00423B91"/>
    <w:rsid w:val="00424503"/>
    <w:rsid w:val="00424DD2"/>
    <w:rsid w:val="0042647A"/>
    <w:rsid w:val="0042678E"/>
    <w:rsid w:val="00430BB2"/>
    <w:rsid w:val="004319E2"/>
    <w:rsid w:val="004331FA"/>
    <w:rsid w:val="00433E82"/>
    <w:rsid w:val="00434630"/>
    <w:rsid w:val="00434F81"/>
    <w:rsid w:val="004361C4"/>
    <w:rsid w:val="00436D0A"/>
    <w:rsid w:val="004371AB"/>
    <w:rsid w:val="00437B12"/>
    <w:rsid w:val="00440602"/>
    <w:rsid w:val="004406F2"/>
    <w:rsid w:val="00440EFB"/>
    <w:rsid w:val="00442115"/>
    <w:rsid w:val="00442546"/>
    <w:rsid w:val="00446A96"/>
    <w:rsid w:val="004470A3"/>
    <w:rsid w:val="00447134"/>
    <w:rsid w:val="004473CC"/>
    <w:rsid w:val="00447BA2"/>
    <w:rsid w:val="00447CC1"/>
    <w:rsid w:val="00452C57"/>
    <w:rsid w:val="00453C24"/>
    <w:rsid w:val="00453EE8"/>
    <w:rsid w:val="00454300"/>
    <w:rsid w:val="004544F5"/>
    <w:rsid w:val="00455F8B"/>
    <w:rsid w:val="00456185"/>
    <w:rsid w:val="004579CB"/>
    <w:rsid w:val="00457F37"/>
    <w:rsid w:val="00460A39"/>
    <w:rsid w:val="004620A5"/>
    <w:rsid w:val="00462853"/>
    <w:rsid w:val="00463828"/>
    <w:rsid w:val="0046386B"/>
    <w:rsid w:val="0046463F"/>
    <w:rsid w:val="004649A8"/>
    <w:rsid w:val="00467255"/>
    <w:rsid w:val="0046756C"/>
    <w:rsid w:val="00467E77"/>
    <w:rsid w:val="0047211F"/>
    <w:rsid w:val="0047304A"/>
    <w:rsid w:val="0047368C"/>
    <w:rsid w:val="00474D8A"/>
    <w:rsid w:val="00476D24"/>
    <w:rsid w:val="00476E7C"/>
    <w:rsid w:val="00477625"/>
    <w:rsid w:val="004859F8"/>
    <w:rsid w:val="00485B6D"/>
    <w:rsid w:val="00485E44"/>
    <w:rsid w:val="00485EB9"/>
    <w:rsid w:val="004864C5"/>
    <w:rsid w:val="0048661F"/>
    <w:rsid w:val="00490B42"/>
    <w:rsid w:val="00491AA3"/>
    <w:rsid w:val="0049248C"/>
    <w:rsid w:val="00494FAB"/>
    <w:rsid w:val="004973D2"/>
    <w:rsid w:val="004A1070"/>
    <w:rsid w:val="004A50ED"/>
    <w:rsid w:val="004B330F"/>
    <w:rsid w:val="004B3D4D"/>
    <w:rsid w:val="004B40E9"/>
    <w:rsid w:val="004B6A10"/>
    <w:rsid w:val="004B7AC3"/>
    <w:rsid w:val="004C172A"/>
    <w:rsid w:val="004C1759"/>
    <w:rsid w:val="004C1AED"/>
    <w:rsid w:val="004C318D"/>
    <w:rsid w:val="004D27E2"/>
    <w:rsid w:val="004D54DB"/>
    <w:rsid w:val="004D54ED"/>
    <w:rsid w:val="004E3361"/>
    <w:rsid w:val="004E4135"/>
    <w:rsid w:val="004E6292"/>
    <w:rsid w:val="004E67BE"/>
    <w:rsid w:val="004E6B46"/>
    <w:rsid w:val="004F0E58"/>
    <w:rsid w:val="004F2797"/>
    <w:rsid w:val="004F35DF"/>
    <w:rsid w:val="004F51E5"/>
    <w:rsid w:val="004F637A"/>
    <w:rsid w:val="004F6CF2"/>
    <w:rsid w:val="004F7244"/>
    <w:rsid w:val="004F7ED7"/>
    <w:rsid w:val="00500080"/>
    <w:rsid w:val="005015C2"/>
    <w:rsid w:val="00501E79"/>
    <w:rsid w:val="00503128"/>
    <w:rsid w:val="005034A4"/>
    <w:rsid w:val="00505753"/>
    <w:rsid w:val="00506D6A"/>
    <w:rsid w:val="00513275"/>
    <w:rsid w:val="005137CF"/>
    <w:rsid w:val="0051529B"/>
    <w:rsid w:val="0052026F"/>
    <w:rsid w:val="005214B6"/>
    <w:rsid w:val="00522587"/>
    <w:rsid w:val="00523BBD"/>
    <w:rsid w:val="005251F8"/>
    <w:rsid w:val="0052606D"/>
    <w:rsid w:val="00526762"/>
    <w:rsid w:val="0052676C"/>
    <w:rsid w:val="00526977"/>
    <w:rsid w:val="00530F8B"/>
    <w:rsid w:val="00531247"/>
    <w:rsid w:val="005316B0"/>
    <w:rsid w:val="00532BCB"/>
    <w:rsid w:val="00532C9C"/>
    <w:rsid w:val="00532DB9"/>
    <w:rsid w:val="00536D36"/>
    <w:rsid w:val="00536F32"/>
    <w:rsid w:val="00537093"/>
    <w:rsid w:val="005406DD"/>
    <w:rsid w:val="005417E1"/>
    <w:rsid w:val="00542B3D"/>
    <w:rsid w:val="00544FDA"/>
    <w:rsid w:val="00546030"/>
    <w:rsid w:val="005474A8"/>
    <w:rsid w:val="00547843"/>
    <w:rsid w:val="00547D1F"/>
    <w:rsid w:val="00553214"/>
    <w:rsid w:val="00553B67"/>
    <w:rsid w:val="00555457"/>
    <w:rsid w:val="00555636"/>
    <w:rsid w:val="005564F5"/>
    <w:rsid w:val="005571D9"/>
    <w:rsid w:val="00561563"/>
    <w:rsid w:val="00561ECE"/>
    <w:rsid w:val="00563FCE"/>
    <w:rsid w:val="00565EDA"/>
    <w:rsid w:val="00566992"/>
    <w:rsid w:val="00567BE1"/>
    <w:rsid w:val="005710F0"/>
    <w:rsid w:val="005715F7"/>
    <w:rsid w:val="00573809"/>
    <w:rsid w:val="00574C6F"/>
    <w:rsid w:val="00574F87"/>
    <w:rsid w:val="00575DBA"/>
    <w:rsid w:val="00577121"/>
    <w:rsid w:val="005808BB"/>
    <w:rsid w:val="00583690"/>
    <w:rsid w:val="005903CB"/>
    <w:rsid w:val="005916D8"/>
    <w:rsid w:val="005A0DF7"/>
    <w:rsid w:val="005A16AB"/>
    <w:rsid w:val="005A30BB"/>
    <w:rsid w:val="005A3B1F"/>
    <w:rsid w:val="005A61D6"/>
    <w:rsid w:val="005A62CF"/>
    <w:rsid w:val="005A6909"/>
    <w:rsid w:val="005A6C0E"/>
    <w:rsid w:val="005A6D19"/>
    <w:rsid w:val="005B050E"/>
    <w:rsid w:val="005B0932"/>
    <w:rsid w:val="005B0BAA"/>
    <w:rsid w:val="005B0C60"/>
    <w:rsid w:val="005B0FD0"/>
    <w:rsid w:val="005B10A8"/>
    <w:rsid w:val="005B1196"/>
    <w:rsid w:val="005B17A8"/>
    <w:rsid w:val="005B2494"/>
    <w:rsid w:val="005B2D9C"/>
    <w:rsid w:val="005B458B"/>
    <w:rsid w:val="005B6186"/>
    <w:rsid w:val="005B7168"/>
    <w:rsid w:val="005B7346"/>
    <w:rsid w:val="005B7870"/>
    <w:rsid w:val="005C23FF"/>
    <w:rsid w:val="005C41B5"/>
    <w:rsid w:val="005C6D92"/>
    <w:rsid w:val="005D0774"/>
    <w:rsid w:val="005D1C1B"/>
    <w:rsid w:val="005D2352"/>
    <w:rsid w:val="005D2A7A"/>
    <w:rsid w:val="005D42A4"/>
    <w:rsid w:val="005D5486"/>
    <w:rsid w:val="005D708E"/>
    <w:rsid w:val="005D743E"/>
    <w:rsid w:val="005E3738"/>
    <w:rsid w:val="005E3FFB"/>
    <w:rsid w:val="005E61E0"/>
    <w:rsid w:val="005E7F4D"/>
    <w:rsid w:val="005F1316"/>
    <w:rsid w:val="005F2501"/>
    <w:rsid w:val="005F2DAF"/>
    <w:rsid w:val="005F69CC"/>
    <w:rsid w:val="005F7670"/>
    <w:rsid w:val="006004AB"/>
    <w:rsid w:val="0060144D"/>
    <w:rsid w:val="00604083"/>
    <w:rsid w:val="00604831"/>
    <w:rsid w:val="00606E29"/>
    <w:rsid w:val="00607746"/>
    <w:rsid w:val="006109CE"/>
    <w:rsid w:val="00611314"/>
    <w:rsid w:val="0061221D"/>
    <w:rsid w:val="00613D70"/>
    <w:rsid w:val="00614933"/>
    <w:rsid w:val="00616002"/>
    <w:rsid w:val="006179C9"/>
    <w:rsid w:val="00620E13"/>
    <w:rsid w:val="00621F1A"/>
    <w:rsid w:val="00622086"/>
    <w:rsid w:val="006222E6"/>
    <w:rsid w:val="006234E0"/>
    <w:rsid w:val="00623E47"/>
    <w:rsid w:val="00624FF6"/>
    <w:rsid w:val="00625D2E"/>
    <w:rsid w:val="00626DBC"/>
    <w:rsid w:val="0062710C"/>
    <w:rsid w:val="00627212"/>
    <w:rsid w:val="006272F5"/>
    <w:rsid w:val="00631F39"/>
    <w:rsid w:val="00632002"/>
    <w:rsid w:val="0063209F"/>
    <w:rsid w:val="0063232D"/>
    <w:rsid w:val="006325A2"/>
    <w:rsid w:val="00632663"/>
    <w:rsid w:val="00632ED6"/>
    <w:rsid w:val="00633380"/>
    <w:rsid w:val="006334A0"/>
    <w:rsid w:val="00633856"/>
    <w:rsid w:val="00634651"/>
    <w:rsid w:val="00634813"/>
    <w:rsid w:val="0063481E"/>
    <w:rsid w:val="00635073"/>
    <w:rsid w:val="0063599C"/>
    <w:rsid w:val="00636015"/>
    <w:rsid w:val="00636076"/>
    <w:rsid w:val="00636405"/>
    <w:rsid w:val="00640A96"/>
    <w:rsid w:val="00641313"/>
    <w:rsid w:val="006414C2"/>
    <w:rsid w:val="006416CD"/>
    <w:rsid w:val="00641773"/>
    <w:rsid w:val="00643D0E"/>
    <w:rsid w:val="00644000"/>
    <w:rsid w:val="00644286"/>
    <w:rsid w:val="00644536"/>
    <w:rsid w:val="0064471C"/>
    <w:rsid w:val="00645084"/>
    <w:rsid w:val="006454FD"/>
    <w:rsid w:val="00646246"/>
    <w:rsid w:val="006464C5"/>
    <w:rsid w:val="00646716"/>
    <w:rsid w:val="00650142"/>
    <w:rsid w:val="006548C6"/>
    <w:rsid w:val="00655E32"/>
    <w:rsid w:val="00655E3B"/>
    <w:rsid w:val="0066020F"/>
    <w:rsid w:val="00660377"/>
    <w:rsid w:val="00660EE5"/>
    <w:rsid w:val="006619B3"/>
    <w:rsid w:val="0066208C"/>
    <w:rsid w:val="0066564F"/>
    <w:rsid w:val="006701AC"/>
    <w:rsid w:val="00670991"/>
    <w:rsid w:val="006727E7"/>
    <w:rsid w:val="0067404E"/>
    <w:rsid w:val="0067420E"/>
    <w:rsid w:val="00674C18"/>
    <w:rsid w:val="006801F8"/>
    <w:rsid w:val="006802D0"/>
    <w:rsid w:val="006812F1"/>
    <w:rsid w:val="006817C6"/>
    <w:rsid w:val="0068355C"/>
    <w:rsid w:val="00683676"/>
    <w:rsid w:val="006855B2"/>
    <w:rsid w:val="00685D74"/>
    <w:rsid w:val="00686641"/>
    <w:rsid w:val="00686A02"/>
    <w:rsid w:val="00690293"/>
    <w:rsid w:val="00691C81"/>
    <w:rsid w:val="00694A65"/>
    <w:rsid w:val="0069597D"/>
    <w:rsid w:val="006969A0"/>
    <w:rsid w:val="006A06E8"/>
    <w:rsid w:val="006A20C4"/>
    <w:rsid w:val="006A2394"/>
    <w:rsid w:val="006A34E3"/>
    <w:rsid w:val="006A3E13"/>
    <w:rsid w:val="006A68E4"/>
    <w:rsid w:val="006B039B"/>
    <w:rsid w:val="006B0838"/>
    <w:rsid w:val="006B1377"/>
    <w:rsid w:val="006B19C1"/>
    <w:rsid w:val="006B1B84"/>
    <w:rsid w:val="006B268F"/>
    <w:rsid w:val="006B5122"/>
    <w:rsid w:val="006B656B"/>
    <w:rsid w:val="006B68E6"/>
    <w:rsid w:val="006B6EEC"/>
    <w:rsid w:val="006B7384"/>
    <w:rsid w:val="006B7999"/>
    <w:rsid w:val="006C2F57"/>
    <w:rsid w:val="006C31FB"/>
    <w:rsid w:val="006C3371"/>
    <w:rsid w:val="006C3BA2"/>
    <w:rsid w:val="006C3DDD"/>
    <w:rsid w:val="006C3EBB"/>
    <w:rsid w:val="006C417E"/>
    <w:rsid w:val="006C58C0"/>
    <w:rsid w:val="006C6734"/>
    <w:rsid w:val="006D0086"/>
    <w:rsid w:val="006D00DD"/>
    <w:rsid w:val="006D0FE7"/>
    <w:rsid w:val="006D1443"/>
    <w:rsid w:val="006D1EBF"/>
    <w:rsid w:val="006D5222"/>
    <w:rsid w:val="006D57A7"/>
    <w:rsid w:val="006E0D54"/>
    <w:rsid w:val="006E1290"/>
    <w:rsid w:val="006E1875"/>
    <w:rsid w:val="006E30DC"/>
    <w:rsid w:val="006E32FC"/>
    <w:rsid w:val="006E34C6"/>
    <w:rsid w:val="006E3F37"/>
    <w:rsid w:val="006E5B39"/>
    <w:rsid w:val="006E6D83"/>
    <w:rsid w:val="006F0C21"/>
    <w:rsid w:val="006F0EEB"/>
    <w:rsid w:val="006F0F78"/>
    <w:rsid w:val="006F1596"/>
    <w:rsid w:val="006F1D41"/>
    <w:rsid w:val="006F2458"/>
    <w:rsid w:val="006F401F"/>
    <w:rsid w:val="006F4D7B"/>
    <w:rsid w:val="006F50D6"/>
    <w:rsid w:val="006F51A2"/>
    <w:rsid w:val="006F7291"/>
    <w:rsid w:val="00700634"/>
    <w:rsid w:val="00701406"/>
    <w:rsid w:val="00701446"/>
    <w:rsid w:val="007020CA"/>
    <w:rsid w:val="007024CE"/>
    <w:rsid w:val="00702542"/>
    <w:rsid w:val="00705FD7"/>
    <w:rsid w:val="007066D9"/>
    <w:rsid w:val="00706B73"/>
    <w:rsid w:val="00706DDB"/>
    <w:rsid w:val="00707E15"/>
    <w:rsid w:val="007104A7"/>
    <w:rsid w:val="00713082"/>
    <w:rsid w:val="0071361D"/>
    <w:rsid w:val="0071480E"/>
    <w:rsid w:val="00714DDA"/>
    <w:rsid w:val="007178DA"/>
    <w:rsid w:val="00720242"/>
    <w:rsid w:val="00720263"/>
    <w:rsid w:val="007211B1"/>
    <w:rsid w:val="00721C78"/>
    <w:rsid w:val="00722B2D"/>
    <w:rsid w:val="007243AE"/>
    <w:rsid w:val="007243CE"/>
    <w:rsid w:val="00724B6D"/>
    <w:rsid w:val="00730C4E"/>
    <w:rsid w:val="00730E9A"/>
    <w:rsid w:val="00731E8E"/>
    <w:rsid w:val="0073512B"/>
    <w:rsid w:val="00736208"/>
    <w:rsid w:val="00736F43"/>
    <w:rsid w:val="0073797C"/>
    <w:rsid w:val="007413A2"/>
    <w:rsid w:val="00742C44"/>
    <w:rsid w:val="00744C75"/>
    <w:rsid w:val="00744D41"/>
    <w:rsid w:val="00750F54"/>
    <w:rsid w:val="00752DD7"/>
    <w:rsid w:val="00753080"/>
    <w:rsid w:val="007537E2"/>
    <w:rsid w:val="00753D6F"/>
    <w:rsid w:val="007555D0"/>
    <w:rsid w:val="007560F1"/>
    <w:rsid w:val="007572D5"/>
    <w:rsid w:val="007578F9"/>
    <w:rsid w:val="007628DC"/>
    <w:rsid w:val="0076381F"/>
    <w:rsid w:val="0076460C"/>
    <w:rsid w:val="007647CD"/>
    <w:rsid w:val="00767245"/>
    <w:rsid w:val="00767E2F"/>
    <w:rsid w:val="00770547"/>
    <w:rsid w:val="00770AD4"/>
    <w:rsid w:val="007710EC"/>
    <w:rsid w:val="00773D31"/>
    <w:rsid w:val="0077470F"/>
    <w:rsid w:val="00774C01"/>
    <w:rsid w:val="007764CA"/>
    <w:rsid w:val="00780323"/>
    <w:rsid w:val="00780D3A"/>
    <w:rsid w:val="00780EBE"/>
    <w:rsid w:val="00783476"/>
    <w:rsid w:val="007837CD"/>
    <w:rsid w:val="00783C89"/>
    <w:rsid w:val="00784B50"/>
    <w:rsid w:val="00785CBD"/>
    <w:rsid w:val="00786BE5"/>
    <w:rsid w:val="00786ECC"/>
    <w:rsid w:val="007912BF"/>
    <w:rsid w:val="00791620"/>
    <w:rsid w:val="00791EE7"/>
    <w:rsid w:val="00792E14"/>
    <w:rsid w:val="00792E5A"/>
    <w:rsid w:val="00792E67"/>
    <w:rsid w:val="00793052"/>
    <w:rsid w:val="0079338A"/>
    <w:rsid w:val="00793732"/>
    <w:rsid w:val="00794476"/>
    <w:rsid w:val="00795C2A"/>
    <w:rsid w:val="0079670A"/>
    <w:rsid w:val="00797214"/>
    <w:rsid w:val="007972A4"/>
    <w:rsid w:val="007A0424"/>
    <w:rsid w:val="007A2307"/>
    <w:rsid w:val="007A2D41"/>
    <w:rsid w:val="007A42E1"/>
    <w:rsid w:val="007A6023"/>
    <w:rsid w:val="007A685B"/>
    <w:rsid w:val="007A709C"/>
    <w:rsid w:val="007B0DB3"/>
    <w:rsid w:val="007B1A03"/>
    <w:rsid w:val="007B267F"/>
    <w:rsid w:val="007B79AE"/>
    <w:rsid w:val="007C0301"/>
    <w:rsid w:val="007C0DF5"/>
    <w:rsid w:val="007C15DC"/>
    <w:rsid w:val="007C3650"/>
    <w:rsid w:val="007C54FD"/>
    <w:rsid w:val="007C5B71"/>
    <w:rsid w:val="007C796A"/>
    <w:rsid w:val="007D13ED"/>
    <w:rsid w:val="007D1DCE"/>
    <w:rsid w:val="007D261F"/>
    <w:rsid w:val="007D379B"/>
    <w:rsid w:val="007D4A29"/>
    <w:rsid w:val="007E1436"/>
    <w:rsid w:val="007E17F7"/>
    <w:rsid w:val="007E23DE"/>
    <w:rsid w:val="007E2658"/>
    <w:rsid w:val="007E2713"/>
    <w:rsid w:val="007E4054"/>
    <w:rsid w:val="007E64E0"/>
    <w:rsid w:val="007E6782"/>
    <w:rsid w:val="007E68B7"/>
    <w:rsid w:val="007E6BBD"/>
    <w:rsid w:val="007E73BF"/>
    <w:rsid w:val="007F104F"/>
    <w:rsid w:val="007F3CDD"/>
    <w:rsid w:val="007F4499"/>
    <w:rsid w:val="007F47C9"/>
    <w:rsid w:val="007F505E"/>
    <w:rsid w:val="007F6034"/>
    <w:rsid w:val="007F6C80"/>
    <w:rsid w:val="007F72EB"/>
    <w:rsid w:val="0080019E"/>
    <w:rsid w:val="00801952"/>
    <w:rsid w:val="00801AC3"/>
    <w:rsid w:val="00804505"/>
    <w:rsid w:val="008069EC"/>
    <w:rsid w:val="00807039"/>
    <w:rsid w:val="00810036"/>
    <w:rsid w:val="00813742"/>
    <w:rsid w:val="008151AA"/>
    <w:rsid w:val="00816335"/>
    <w:rsid w:val="008169F0"/>
    <w:rsid w:val="00817BF3"/>
    <w:rsid w:val="00817C24"/>
    <w:rsid w:val="008211E6"/>
    <w:rsid w:val="0082135A"/>
    <w:rsid w:val="00822412"/>
    <w:rsid w:val="0082542C"/>
    <w:rsid w:val="008263BE"/>
    <w:rsid w:val="0083053E"/>
    <w:rsid w:val="00833261"/>
    <w:rsid w:val="00834C9B"/>
    <w:rsid w:val="00835196"/>
    <w:rsid w:val="0083543E"/>
    <w:rsid w:val="00837C8B"/>
    <w:rsid w:val="00840850"/>
    <w:rsid w:val="0084092E"/>
    <w:rsid w:val="008421CC"/>
    <w:rsid w:val="008440CB"/>
    <w:rsid w:val="00844834"/>
    <w:rsid w:val="008461E2"/>
    <w:rsid w:val="00846873"/>
    <w:rsid w:val="008469CC"/>
    <w:rsid w:val="00850DD8"/>
    <w:rsid w:val="0085248E"/>
    <w:rsid w:val="00853977"/>
    <w:rsid w:val="0085411D"/>
    <w:rsid w:val="0085467E"/>
    <w:rsid w:val="008546B3"/>
    <w:rsid w:val="00855778"/>
    <w:rsid w:val="00860FA8"/>
    <w:rsid w:val="00862E66"/>
    <w:rsid w:val="008653A8"/>
    <w:rsid w:val="008722BF"/>
    <w:rsid w:val="008728E7"/>
    <w:rsid w:val="00872A54"/>
    <w:rsid w:val="008744A6"/>
    <w:rsid w:val="00875A1A"/>
    <w:rsid w:val="008762EB"/>
    <w:rsid w:val="00876D6F"/>
    <w:rsid w:val="00880D82"/>
    <w:rsid w:val="0088311A"/>
    <w:rsid w:val="00883295"/>
    <w:rsid w:val="00885960"/>
    <w:rsid w:val="00890BC1"/>
    <w:rsid w:val="00891596"/>
    <w:rsid w:val="008918FF"/>
    <w:rsid w:val="008921AD"/>
    <w:rsid w:val="00892C6A"/>
    <w:rsid w:val="00893C5D"/>
    <w:rsid w:val="00893D03"/>
    <w:rsid w:val="00894CCE"/>
    <w:rsid w:val="00894CDD"/>
    <w:rsid w:val="00895FED"/>
    <w:rsid w:val="008A034E"/>
    <w:rsid w:val="008A25A2"/>
    <w:rsid w:val="008A4B1B"/>
    <w:rsid w:val="008A4C86"/>
    <w:rsid w:val="008A4F2E"/>
    <w:rsid w:val="008B03B7"/>
    <w:rsid w:val="008B10F7"/>
    <w:rsid w:val="008B51E9"/>
    <w:rsid w:val="008B52B2"/>
    <w:rsid w:val="008B7DAB"/>
    <w:rsid w:val="008C4026"/>
    <w:rsid w:val="008C61F5"/>
    <w:rsid w:val="008C6B4D"/>
    <w:rsid w:val="008C728B"/>
    <w:rsid w:val="008C7A75"/>
    <w:rsid w:val="008D0C1A"/>
    <w:rsid w:val="008D2739"/>
    <w:rsid w:val="008D391E"/>
    <w:rsid w:val="008D409E"/>
    <w:rsid w:val="008D5097"/>
    <w:rsid w:val="008D5A43"/>
    <w:rsid w:val="008D7913"/>
    <w:rsid w:val="008E04FD"/>
    <w:rsid w:val="008E0C08"/>
    <w:rsid w:val="008E1DEB"/>
    <w:rsid w:val="008E36BC"/>
    <w:rsid w:val="008E42E7"/>
    <w:rsid w:val="008E5B6C"/>
    <w:rsid w:val="008E61B4"/>
    <w:rsid w:val="008E6701"/>
    <w:rsid w:val="008E67B8"/>
    <w:rsid w:val="008F1A4C"/>
    <w:rsid w:val="008F2416"/>
    <w:rsid w:val="008F3885"/>
    <w:rsid w:val="008F4290"/>
    <w:rsid w:val="008F5094"/>
    <w:rsid w:val="008F579A"/>
    <w:rsid w:val="008F5DFE"/>
    <w:rsid w:val="008F65A8"/>
    <w:rsid w:val="008F67F0"/>
    <w:rsid w:val="008F6D99"/>
    <w:rsid w:val="008F77BB"/>
    <w:rsid w:val="008F7828"/>
    <w:rsid w:val="008F7C47"/>
    <w:rsid w:val="009000B7"/>
    <w:rsid w:val="009021BA"/>
    <w:rsid w:val="00903113"/>
    <w:rsid w:val="00906655"/>
    <w:rsid w:val="00907480"/>
    <w:rsid w:val="00910F74"/>
    <w:rsid w:val="00912810"/>
    <w:rsid w:val="00912DD1"/>
    <w:rsid w:val="009157B9"/>
    <w:rsid w:val="00916357"/>
    <w:rsid w:val="00916F1B"/>
    <w:rsid w:val="00917F2B"/>
    <w:rsid w:val="0092146A"/>
    <w:rsid w:val="009245D3"/>
    <w:rsid w:val="00924813"/>
    <w:rsid w:val="00926182"/>
    <w:rsid w:val="00926B1D"/>
    <w:rsid w:val="00931796"/>
    <w:rsid w:val="00933EC2"/>
    <w:rsid w:val="0093441C"/>
    <w:rsid w:val="009354E2"/>
    <w:rsid w:val="0093647B"/>
    <w:rsid w:val="00936AB2"/>
    <w:rsid w:val="009373E8"/>
    <w:rsid w:val="009410EB"/>
    <w:rsid w:val="00941A86"/>
    <w:rsid w:val="0094216F"/>
    <w:rsid w:val="0094472D"/>
    <w:rsid w:val="0094581C"/>
    <w:rsid w:val="00946DFB"/>
    <w:rsid w:val="0095055B"/>
    <w:rsid w:val="00952095"/>
    <w:rsid w:val="009567FA"/>
    <w:rsid w:val="0095779B"/>
    <w:rsid w:val="009604D9"/>
    <w:rsid w:val="00960B03"/>
    <w:rsid w:val="00960F9D"/>
    <w:rsid w:val="009610D0"/>
    <w:rsid w:val="00961552"/>
    <w:rsid w:val="009616F3"/>
    <w:rsid w:val="009629B6"/>
    <w:rsid w:val="00963619"/>
    <w:rsid w:val="00965D65"/>
    <w:rsid w:val="00967738"/>
    <w:rsid w:val="00972313"/>
    <w:rsid w:val="00973A17"/>
    <w:rsid w:val="00974223"/>
    <w:rsid w:val="00975536"/>
    <w:rsid w:val="009822DA"/>
    <w:rsid w:val="00982BCD"/>
    <w:rsid w:val="009855A3"/>
    <w:rsid w:val="009857FD"/>
    <w:rsid w:val="00985A02"/>
    <w:rsid w:val="00990A92"/>
    <w:rsid w:val="0099116B"/>
    <w:rsid w:val="00992038"/>
    <w:rsid w:val="0099231C"/>
    <w:rsid w:val="00994464"/>
    <w:rsid w:val="0099484A"/>
    <w:rsid w:val="009957FF"/>
    <w:rsid w:val="00996D55"/>
    <w:rsid w:val="0099782F"/>
    <w:rsid w:val="009A0049"/>
    <w:rsid w:val="009A176C"/>
    <w:rsid w:val="009A3B4F"/>
    <w:rsid w:val="009A3EF9"/>
    <w:rsid w:val="009A5722"/>
    <w:rsid w:val="009A667F"/>
    <w:rsid w:val="009A6E95"/>
    <w:rsid w:val="009A7154"/>
    <w:rsid w:val="009B03E7"/>
    <w:rsid w:val="009B11BA"/>
    <w:rsid w:val="009B1C4F"/>
    <w:rsid w:val="009B4334"/>
    <w:rsid w:val="009B48B9"/>
    <w:rsid w:val="009B497C"/>
    <w:rsid w:val="009B4E51"/>
    <w:rsid w:val="009B5569"/>
    <w:rsid w:val="009B5813"/>
    <w:rsid w:val="009B5BD7"/>
    <w:rsid w:val="009B7943"/>
    <w:rsid w:val="009C2497"/>
    <w:rsid w:val="009C324A"/>
    <w:rsid w:val="009C39C0"/>
    <w:rsid w:val="009C4F9D"/>
    <w:rsid w:val="009C4F9F"/>
    <w:rsid w:val="009C576C"/>
    <w:rsid w:val="009C6D04"/>
    <w:rsid w:val="009D03DB"/>
    <w:rsid w:val="009D1A27"/>
    <w:rsid w:val="009D5FC4"/>
    <w:rsid w:val="009D692D"/>
    <w:rsid w:val="009D7A0E"/>
    <w:rsid w:val="009E0594"/>
    <w:rsid w:val="009E0F2F"/>
    <w:rsid w:val="009E29A4"/>
    <w:rsid w:val="009E3912"/>
    <w:rsid w:val="009E4A36"/>
    <w:rsid w:val="009E4F2D"/>
    <w:rsid w:val="009E769B"/>
    <w:rsid w:val="009F2197"/>
    <w:rsid w:val="009F297F"/>
    <w:rsid w:val="009F392F"/>
    <w:rsid w:val="009F3B80"/>
    <w:rsid w:val="009F5DBE"/>
    <w:rsid w:val="009F6076"/>
    <w:rsid w:val="00A0028A"/>
    <w:rsid w:val="00A02439"/>
    <w:rsid w:val="00A04D68"/>
    <w:rsid w:val="00A1091F"/>
    <w:rsid w:val="00A10AA2"/>
    <w:rsid w:val="00A11047"/>
    <w:rsid w:val="00A121A0"/>
    <w:rsid w:val="00A1296E"/>
    <w:rsid w:val="00A14B44"/>
    <w:rsid w:val="00A165F6"/>
    <w:rsid w:val="00A1797E"/>
    <w:rsid w:val="00A17A6A"/>
    <w:rsid w:val="00A20117"/>
    <w:rsid w:val="00A20981"/>
    <w:rsid w:val="00A250B6"/>
    <w:rsid w:val="00A25E7B"/>
    <w:rsid w:val="00A276AF"/>
    <w:rsid w:val="00A27E44"/>
    <w:rsid w:val="00A31E65"/>
    <w:rsid w:val="00A324F1"/>
    <w:rsid w:val="00A32A9D"/>
    <w:rsid w:val="00A34902"/>
    <w:rsid w:val="00A349D5"/>
    <w:rsid w:val="00A353AB"/>
    <w:rsid w:val="00A36E64"/>
    <w:rsid w:val="00A3795D"/>
    <w:rsid w:val="00A42D6D"/>
    <w:rsid w:val="00A43238"/>
    <w:rsid w:val="00A4439C"/>
    <w:rsid w:val="00A45843"/>
    <w:rsid w:val="00A464B9"/>
    <w:rsid w:val="00A50D3F"/>
    <w:rsid w:val="00A51951"/>
    <w:rsid w:val="00A52AA2"/>
    <w:rsid w:val="00A53972"/>
    <w:rsid w:val="00A60664"/>
    <w:rsid w:val="00A62290"/>
    <w:rsid w:val="00A647F2"/>
    <w:rsid w:val="00A652C7"/>
    <w:rsid w:val="00A66C71"/>
    <w:rsid w:val="00A67F6D"/>
    <w:rsid w:val="00A70261"/>
    <w:rsid w:val="00A71EEE"/>
    <w:rsid w:val="00A72267"/>
    <w:rsid w:val="00A72F0F"/>
    <w:rsid w:val="00A73053"/>
    <w:rsid w:val="00A75529"/>
    <w:rsid w:val="00A75D6E"/>
    <w:rsid w:val="00A76103"/>
    <w:rsid w:val="00A77D21"/>
    <w:rsid w:val="00A81DCC"/>
    <w:rsid w:val="00A81FA6"/>
    <w:rsid w:val="00A81FDC"/>
    <w:rsid w:val="00A83831"/>
    <w:rsid w:val="00A847BF"/>
    <w:rsid w:val="00A84A7A"/>
    <w:rsid w:val="00A85077"/>
    <w:rsid w:val="00A85B69"/>
    <w:rsid w:val="00A86AB8"/>
    <w:rsid w:val="00A8726D"/>
    <w:rsid w:val="00A877A7"/>
    <w:rsid w:val="00A900CE"/>
    <w:rsid w:val="00A90679"/>
    <w:rsid w:val="00A90960"/>
    <w:rsid w:val="00A90DA3"/>
    <w:rsid w:val="00A917E9"/>
    <w:rsid w:val="00A95905"/>
    <w:rsid w:val="00A97E66"/>
    <w:rsid w:val="00AA0978"/>
    <w:rsid w:val="00AA1077"/>
    <w:rsid w:val="00AA1F66"/>
    <w:rsid w:val="00AA2052"/>
    <w:rsid w:val="00AA2DCD"/>
    <w:rsid w:val="00AA3304"/>
    <w:rsid w:val="00AA382C"/>
    <w:rsid w:val="00AA6C68"/>
    <w:rsid w:val="00AA6D57"/>
    <w:rsid w:val="00AA7AE6"/>
    <w:rsid w:val="00AB22D0"/>
    <w:rsid w:val="00AB3D34"/>
    <w:rsid w:val="00AB3DBE"/>
    <w:rsid w:val="00AB436A"/>
    <w:rsid w:val="00AB46CA"/>
    <w:rsid w:val="00AB53CF"/>
    <w:rsid w:val="00AB5B1B"/>
    <w:rsid w:val="00AB6B75"/>
    <w:rsid w:val="00AB7DCC"/>
    <w:rsid w:val="00AC2A5E"/>
    <w:rsid w:val="00AC32C3"/>
    <w:rsid w:val="00AC5B5B"/>
    <w:rsid w:val="00AD05E9"/>
    <w:rsid w:val="00AD09DD"/>
    <w:rsid w:val="00AD24EF"/>
    <w:rsid w:val="00AD4601"/>
    <w:rsid w:val="00AE00C5"/>
    <w:rsid w:val="00AE2A6C"/>
    <w:rsid w:val="00AE2B7D"/>
    <w:rsid w:val="00AE3C5F"/>
    <w:rsid w:val="00AE53C8"/>
    <w:rsid w:val="00AE59DC"/>
    <w:rsid w:val="00AE5AF8"/>
    <w:rsid w:val="00AE5B89"/>
    <w:rsid w:val="00AE6495"/>
    <w:rsid w:val="00AE65F5"/>
    <w:rsid w:val="00AF20A1"/>
    <w:rsid w:val="00AF248E"/>
    <w:rsid w:val="00AF2814"/>
    <w:rsid w:val="00AF3EAB"/>
    <w:rsid w:val="00AF5B4F"/>
    <w:rsid w:val="00AF7BF2"/>
    <w:rsid w:val="00B002D0"/>
    <w:rsid w:val="00B005E4"/>
    <w:rsid w:val="00B0288E"/>
    <w:rsid w:val="00B02AF3"/>
    <w:rsid w:val="00B04916"/>
    <w:rsid w:val="00B04935"/>
    <w:rsid w:val="00B10E97"/>
    <w:rsid w:val="00B112AE"/>
    <w:rsid w:val="00B1140D"/>
    <w:rsid w:val="00B13E4D"/>
    <w:rsid w:val="00B14012"/>
    <w:rsid w:val="00B1470C"/>
    <w:rsid w:val="00B14827"/>
    <w:rsid w:val="00B15B64"/>
    <w:rsid w:val="00B206AA"/>
    <w:rsid w:val="00B20E7D"/>
    <w:rsid w:val="00B2292C"/>
    <w:rsid w:val="00B23C37"/>
    <w:rsid w:val="00B24882"/>
    <w:rsid w:val="00B2546D"/>
    <w:rsid w:val="00B272BC"/>
    <w:rsid w:val="00B27319"/>
    <w:rsid w:val="00B27DBD"/>
    <w:rsid w:val="00B3012F"/>
    <w:rsid w:val="00B31575"/>
    <w:rsid w:val="00B3423E"/>
    <w:rsid w:val="00B37750"/>
    <w:rsid w:val="00B4088B"/>
    <w:rsid w:val="00B426E1"/>
    <w:rsid w:val="00B4711D"/>
    <w:rsid w:val="00B5068A"/>
    <w:rsid w:val="00B51B69"/>
    <w:rsid w:val="00B52CA4"/>
    <w:rsid w:val="00B53343"/>
    <w:rsid w:val="00B53AED"/>
    <w:rsid w:val="00B53B6A"/>
    <w:rsid w:val="00B53E0C"/>
    <w:rsid w:val="00B54BA3"/>
    <w:rsid w:val="00B54E57"/>
    <w:rsid w:val="00B5502B"/>
    <w:rsid w:val="00B5575A"/>
    <w:rsid w:val="00B55BCE"/>
    <w:rsid w:val="00B55CF5"/>
    <w:rsid w:val="00B65069"/>
    <w:rsid w:val="00B65612"/>
    <w:rsid w:val="00B7046C"/>
    <w:rsid w:val="00B7164E"/>
    <w:rsid w:val="00B72DE8"/>
    <w:rsid w:val="00B72FA9"/>
    <w:rsid w:val="00B7310A"/>
    <w:rsid w:val="00B7334D"/>
    <w:rsid w:val="00B734A1"/>
    <w:rsid w:val="00B7472B"/>
    <w:rsid w:val="00B80657"/>
    <w:rsid w:val="00B808CB"/>
    <w:rsid w:val="00B81A86"/>
    <w:rsid w:val="00B81CC0"/>
    <w:rsid w:val="00B8228F"/>
    <w:rsid w:val="00B83D1A"/>
    <w:rsid w:val="00B84746"/>
    <w:rsid w:val="00B85B37"/>
    <w:rsid w:val="00B90C67"/>
    <w:rsid w:val="00B91286"/>
    <w:rsid w:val="00B91BF9"/>
    <w:rsid w:val="00B91C0B"/>
    <w:rsid w:val="00B91E8E"/>
    <w:rsid w:val="00B92095"/>
    <w:rsid w:val="00B92841"/>
    <w:rsid w:val="00B9567B"/>
    <w:rsid w:val="00B957ED"/>
    <w:rsid w:val="00B95B7F"/>
    <w:rsid w:val="00B97411"/>
    <w:rsid w:val="00BA115E"/>
    <w:rsid w:val="00BA4AE3"/>
    <w:rsid w:val="00BA68BA"/>
    <w:rsid w:val="00BB0F29"/>
    <w:rsid w:val="00BB29F0"/>
    <w:rsid w:val="00BB5D35"/>
    <w:rsid w:val="00BB7F4D"/>
    <w:rsid w:val="00BB7F58"/>
    <w:rsid w:val="00BC0AD0"/>
    <w:rsid w:val="00BC13FD"/>
    <w:rsid w:val="00BC1B41"/>
    <w:rsid w:val="00BC1ECF"/>
    <w:rsid w:val="00BC6539"/>
    <w:rsid w:val="00BC74AB"/>
    <w:rsid w:val="00BD4624"/>
    <w:rsid w:val="00BD4919"/>
    <w:rsid w:val="00BD4AD8"/>
    <w:rsid w:val="00BD547E"/>
    <w:rsid w:val="00BD7B5A"/>
    <w:rsid w:val="00BD7D44"/>
    <w:rsid w:val="00BE0257"/>
    <w:rsid w:val="00BE171F"/>
    <w:rsid w:val="00BE1D01"/>
    <w:rsid w:val="00BE275D"/>
    <w:rsid w:val="00BE37BE"/>
    <w:rsid w:val="00BE3993"/>
    <w:rsid w:val="00BE4EFB"/>
    <w:rsid w:val="00BE5E39"/>
    <w:rsid w:val="00BE5FC7"/>
    <w:rsid w:val="00BE603D"/>
    <w:rsid w:val="00BE7095"/>
    <w:rsid w:val="00BE7363"/>
    <w:rsid w:val="00BE7386"/>
    <w:rsid w:val="00BE7D33"/>
    <w:rsid w:val="00BF098E"/>
    <w:rsid w:val="00BF1E14"/>
    <w:rsid w:val="00BF6775"/>
    <w:rsid w:val="00BF7736"/>
    <w:rsid w:val="00C01B60"/>
    <w:rsid w:val="00C02CFD"/>
    <w:rsid w:val="00C0406C"/>
    <w:rsid w:val="00C043E8"/>
    <w:rsid w:val="00C0532E"/>
    <w:rsid w:val="00C06960"/>
    <w:rsid w:val="00C07AB7"/>
    <w:rsid w:val="00C104A6"/>
    <w:rsid w:val="00C11B07"/>
    <w:rsid w:val="00C11F5D"/>
    <w:rsid w:val="00C12E18"/>
    <w:rsid w:val="00C15DF7"/>
    <w:rsid w:val="00C161FF"/>
    <w:rsid w:val="00C17F9D"/>
    <w:rsid w:val="00C20812"/>
    <w:rsid w:val="00C20BCA"/>
    <w:rsid w:val="00C21BEB"/>
    <w:rsid w:val="00C22DC9"/>
    <w:rsid w:val="00C24CC2"/>
    <w:rsid w:val="00C24FE4"/>
    <w:rsid w:val="00C252A2"/>
    <w:rsid w:val="00C27E2C"/>
    <w:rsid w:val="00C3044F"/>
    <w:rsid w:val="00C31C70"/>
    <w:rsid w:val="00C31E47"/>
    <w:rsid w:val="00C32E3F"/>
    <w:rsid w:val="00C343EF"/>
    <w:rsid w:val="00C34842"/>
    <w:rsid w:val="00C36551"/>
    <w:rsid w:val="00C36E1A"/>
    <w:rsid w:val="00C40A21"/>
    <w:rsid w:val="00C412A6"/>
    <w:rsid w:val="00C4140D"/>
    <w:rsid w:val="00C419ED"/>
    <w:rsid w:val="00C42974"/>
    <w:rsid w:val="00C46FDD"/>
    <w:rsid w:val="00C47577"/>
    <w:rsid w:val="00C52C3E"/>
    <w:rsid w:val="00C55D2E"/>
    <w:rsid w:val="00C56EAF"/>
    <w:rsid w:val="00C577BF"/>
    <w:rsid w:val="00C57F13"/>
    <w:rsid w:val="00C614AD"/>
    <w:rsid w:val="00C61736"/>
    <w:rsid w:val="00C617D3"/>
    <w:rsid w:val="00C62100"/>
    <w:rsid w:val="00C63346"/>
    <w:rsid w:val="00C66AD8"/>
    <w:rsid w:val="00C67092"/>
    <w:rsid w:val="00C7574D"/>
    <w:rsid w:val="00C75E39"/>
    <w:rsid w:val="00C76806"/>
    <w:rsid w:val="00C8022B"/>
    <w:rsid w:val="00C809B7"/>
    <w:rsid w:val="00C816C1"/>
    <w:rsid w:val="00C81EE0"/>
    <w:rsid w:val="00C829EC"/>
    <w:rsid w:val="00C82AD9"/>
    <w:rsid w:val="00C86FDD"/>
    <w:rsid w:val="00C93578"/>
    <w:rsid w:val="00C93AE9"/>
    <w:rsid w:val="00C94151"/>
    <w:rsid w:val="00C965C6"/>
    <w:rsid w:val="00C97E02"/>
    <w:rsid w:val="00CA381F"/>
    <w:rsid w:val="00CA638B"/>
    <w:rsid w:val="00CA66AF"/>
    <w:rsid w:val="00CA70F9"/>
    <w:rsid w:val="00CA75E0"/>
    <w:rsid w:val="00CB065F"/>
    <w:rsid w:val="00CB1732"/>
    <w:rsid w:val="00CB188F"/>
    <w:rsid w:val="00CB1D2B"/>
    <w:rsid w:val="00CB1D52"/>
    <w:rsid w:val="00CB23B9"/>
    <w:rsid w:val="00CB442B"/>
    <w:rsid w:val="00CB4430"/>
    <w:rsid w:val="00CB777F"/>
    <w:rsid w:val="00CC038C"/>
    <w:rsid w:val="00CC25D6"/>
    <w:rsid w:val="00CC4FB8"/>
    <w:rsid w:val="00CC55AB"/>
    <w:rsid w:val="00CC5C9E"/>
    <w:rsid w:val="00CC67D9"/>
    <w:rsid w:val="00CC727F"/>
    <w:rsid w:val="00CD1FAB"/>
    <w:rsid w:val="00CD2B22"/>
    <w:rsid w:val="00CD3866"/>
    <w:rsid w:val="00CD4659"/>
    <w:rsid w:val="00CD4B24"/>
    <w:rsid w:val="00CD4C8B"/>
    <w:rsid w:val="00CE00C4"/>
    <w:rsid w:val="00CE1F2F"/>
    <w:rsid w:val="00CE2618"/>
    <w:rsid w:val="00CE472A"/>
    <w:rsid w:val="00CE48F6"/>
    <w:rsid w:val="00CE4BC9"/>
    <w:rsid w:val="00CE6541"/>
    <w:rsid w:val="00CE73DC"/>
    <w:rsid w:val="00CE75DD"/>
    <w:rsid w:val="00CE7B5B"/>
    <w:rsid w:val="00CF1246"/>
    <w:rsid w:val="00CF20B6"/>
    <w:rsid w:val="00CF30A9"/>
    <w:rsid w:val="00CF3F04"/>
    <w:rsid w:val="00CF5591"/>
    <w:rsid w:val="00CF5AE6"/>
    <w:rsid w:val="00CF5D0B"/>
    <w:rsid w:val="00D01EEA"/>
    <w:rsid w:val="00D01F3C"/>
    <w:rsid w:val="00D02A22"/>
    <w:rsid w:val="00D07CA7"/>
    <w:rsid w:val="00D10B31"/>
    <w:rsid w:val="00D12ED3"/>
    <w:rsid w:val="00D13F60"/>
    <w:rsid w:val="00D1676A"/>
    <w:rsid w:val="00D173CA"/>
    <w:rsid w:val="00D21B8B"/>
    <w:rsid w:val="00D23338"/>
    <w:rsid w:val="00D24031"/>
    <w:rsid w:val="00D24078"/>
    <w:rsid w:val="00D246EF"/>
    <w:rsid w:val="00D24D2C"/>
    <w:rsid w:val="00D252BD"/>
    <w:rsid w:val="00D25575"/>
    <w:rsid w:val="00D25F90"/>
    <w:rsid w:val="00D3009E"/>
    <w:rsid w:val="00D31F9E"/>
    <w:rsid w:val="00D32A46"/>
    <w:rsid w:val="00D3337F"/>
    <w:rsid w:val="00D33E73"/>
    <w:rsid w:val="00D34936"/>
    <w:rsid w:val="00D34E4D"/>
    <w:rsid w:val="00D35DF9"/>
    <w:rsid w:val="00D36B4F"/>
    <w:rsid w:val="00D4065A"/>
    <w:rsid w:val="00D4072B"/>
    <w:rsid w:val="00D42555"/>
    <w:rsid w:val="00D429E0"/>
    <w:rsid w:val="00D42C31"/>
    <w:rsid w:val="00D42F18"/>
    <w:rsid w:val="00D45DA2"/>
    <w:rsid w:val="00D46E23"/>
    <w:rsid w:val="00D47AAC"/>
    <w:rsid w:val="00D47C49"/>
    <w:rsid w:val="00D51B67"/>
    <w:rsid w:val="00D53CCA"/>
    <w:rsid w:val="00D54196"/>
    <w:rsid w:val="00D54D5D"/>
    <w:rsid w:val="00D56674"/>
    <w:rsid w:val="00D56773"/>
    <w:rsid w:val="00D60601"/>
    <w:rsid w:val="00D60D1F"/>
    <w:rsid w:val="00D60F76"/>
    <w:rsid w:val="00D61108"/>
    <w:rsid w:val="00D64C00"/>
    <w:rsid w:val="00D65403"/>
    <w:rsid w:val="00D65A87"/>
    <w:rsid w:val="00D65B8E"/>
    <w:rsid w:val="00D700A3"/>
    <w:rsid w:val="00D74228"/>
    <w:rsid w:val="00D74644"/>
    <w:rsid w:val="00D7537E"/>
    <w:rsid w:val="00D77ECC"/>
    <w:rsid w:val="00D80A76"/>
    <w:rsid w:val="00D827E3"/>
    <w:rsid w:val="00D83310"/>
    <w:rsid w:val="00D837CA"/>
    <w:rsid w:val="00D84171"/>
    <w:rsid w:val="00D84353"/>
    <w:rsid w:val="00D86275"/>
    <w:rsid w:val="00D87EEC"/>
    <w:rsid w:val="00D91211"/>
    <w:rsid w:val="00D91A45"/>
    <w:rsid w:val="00D91AEF"/>
    <w:rsid w:val="00D91F05"/>
    <w:rsid w:val="00D942A6"/>
    <w:rsid w:val="00D95ED7"/>
    <w:rsid w:val="00D96161"/>
    <w:rsid w:val="00D963FD"/>
    <w:rsid w:val="00D9674A"/>
    <w:rsid w:val="00D976ED"/>
    <w:rsid w:val="00D97AB5"/>
    <w:rsid w:val="00DA0CAC"/>
    <w:rsid w:val="00DA442F"/>
    <w:rsid w:val="00DA4488"/>
    <w:rsid w:val="00DA4CC6"/>
    <w:rsid w:val="00DA6498"/>
    <w:rsid w:val="00DA7709"/>
    <w:rsid w:val="00DA7711"/>
    <w:rsid w:val="00DB0796"/>
    <w:rsid w:val="00DB090D"/>
    <w:rsid w:val="00DB44C2"/>
    <w:rsid w:val="00DB4EAB"/>
    <w:rsid w:val="00DB5C8C"/>
    <w:rsid w:val="00DB68EA"/>
    <w:rsid w:val="00DB7E50"/>
    <w:rsid w:val="00DC055B"/>
    <w:rsid w:val="00DC0F4F"/>
    <w:rsid w:val="00DC4714"/>
    <w:rsid w:val="00DC539D"/>
    <w:rsid w:val="00DC5BA8"/>
    <w:rsid w:val="00DC65F0"/>
    <w:rsid w:val="00DC7381"/>
    <w:rsid w:val="00DD032E"/>
    <w:rsid w:val="00DD4496"/>
    <w:rsid w:val="00DD4532"/>
    <w:rsid w:val="00DD5BAA"/>
    <w:rsid w:val="00DD7A79"/>
    <w:rsid w:val="00DE1385"/>
    <w:rsid w:val="00DE23E3"/>
    <w:rsid w:val="00DE3EE4"/>
    <w:rsid w:val="00DE511E"/>
    <w:rsid w:val="00DE6317"/>
    <w:rsid w:val="00DE6FD7"/>
    <w:rsid w:val="00DE7AE5"/>
    <w:rsid w:val="00DF01EA"/>
    <w:rsid w:val="00DF17E9"/>
    <w:rsid w:val="00DF2EA5"/>
    <w:rsid w:val="00DF3BD7"/>
    <w:rsid w:val="00DF6DC6"/>
    <w:rsid w:val="00DF7475"/>
    <w:rsid w:val="00E01803"/>
    <w:rsid w:val="00E0356D"/>
    <w:rsid w:val="00E03907"/>
    <w:rsid w:val="00E04F79"/>
    <w:rsid w:val="00E05148"/>
    <w:rsid w:val="00E05364"/>
    <w:rsid w:val="00E05A37"/>
    <w:rsid w:val="00E06413"/>
    <w:rsid w:val="00E111FB"/>
    <w:rsid w:val="00E11401"/>
    <w:rsid w:val="00E12920"/>
    <w:rsid w:val="00E14341"/>
    <w:rsid w:val="00E14832"/>
    <w:rsid w:val="00E152D5"/>
    <w:rsid w:val="00E17B70"/>
    <w:rsid w:val="00E17FBB"/>
    <w:rsid w:val="00E25932"/>
    <w:rsid w:val="00E25EC8"/>
    <w:rsid w:val="00E260C4"/>
    <w:rsid w:val="00E27D0F"/>
    <w:rsid w:val="00E3017F"/>
    <w:rsid w:val="00E304BB"/>
    <w:rsid w:val="00E30729"/>
    <w:rsid w:val="00E323F3"/>
    <w:rsid w:val="00E32497"/>
    <w:rsid w:val="00E32804"/>
    <w:rsid w:val="00E32BE1"/>
    <w:rsid w:val="00E3358A"/>
    <w:rsid w:val="00E344F5"/>
    <w:rsid w:val="00E360BF"/>
    <w:rsid w:val="00E3643E"/>
    <w:rsid w:val="00E36A29"/>
    <w:rsid w:val="00E3786D"/>
    <w:rsid w:val="00E37CAE"/>
    <w:rsid w:val="00E404E5"/>
    <w:rsid w:val="00E40D37"/>
    <w:rsid w:val="00E41DA2"/>
    <w:rsid w:val="00E43088"/>
    <w:rsid w:val="00E43ECD"/>
    <w:rsid w:val="00E43F2A"/>
    <w:rsid w:val="00E453F8"/>
    <w:rsid w:val="00E47BE3"/>
    <w:rsid w:val="00E516D5"/>
    <w:rsid w:val="00E52FFB"/>
    <w:rsid w:val="00E531A9"/>
    <w:rsid w:val="00E53AB5"/>
    <w:rsid w:val="00E555FF"/>
    <w:rsid w:val="00E55BA9"/>
    <w:rsid w:val="00E5603A"/>
    <w:rsid w:val="00E572D3"/>
    <w:rsid w:val="00E57A7F"/>
    <w:rsid w:val="00E57DEF"/>
    <w:rsid w:val="00E60347"/>
    <w:rsid w:val="00E60D09"/>
    <w:rsid w:val="00E614C9"/>
    <w:rsid w:val="00E6175C"/>
    <w:rsid w:val="00E61E92"/>
    <w:rsid w:val="00E635E0"/>
    <w:rsid w:val="00E644B0"/>
    <w:rsid w:val="00E64577"/>
    <w:rsid w:val="00E64E41"/>
    <w:rsid w:val="00E651CA"/>
    <w:rsid w:val="00E659E2"/>
    <w:rsid w:val="00E72BA9"/>
    <w:rsid w:val="00E732BB"/>
    <w:rsid w:val="00E75667"/>
    <w:rsid w:val="00E76FBC"/>
    <w:rsid w:val="00E7728A"/>
    <w:rsid w:val="00E92294"/>
    <w:rsid w:val="00E9385A"/>
    <w:rsid w:val="00E940EC"/>
    <w:rsid w:val="00E94873"/>
    <w:rsid w:val="00E94D2B"/>
    <w:rsid w:val="00E9539B"/>
    <w:rsid w:val="00E976B5"/>
    <w:rsid w:val="00E977D6"/>
    <w:rsid w:val="00EA22EA"/>
    <w:rsid w:val="00EA27EB"/>
    <w:rsid w:val="00EA4803"/>
    <w:rsid w:val="00EA5A9D"/>
    <w:rsid w:val="00EA64B6"/>
    <w:rsid w:val="00EA6F9B"/>
    <w:rsid w:val="00EB23B0"/>
    <w:rsid w:val="00EB5231"/>
    <w:rsid w:val="00EB79C2"/>
    <w:rsid w:val="00EC04DB"/>
    <w:rsid w:val="00EC098C"/>
    <w:rsid w:val="00EC0BE7"/>
    <w:rsid w:val="00EC2DFE"/>
    <w:rsid w:val="00EC3196"/>
    <w:rsid w:val="00EC5B9F"/>
    <w:rsid w:val="00EC6054"/>
    <w:rsid w:val="00EC6E93"/>
    <w:rsid w:val="00EC7633"/>
    <w:rsid w:val="00ED3CF5"/>
    <w:rsid w:val="00EE0A0B"/>
    <w:rsid w:val="00EE0E19"/>
    <w:rsid w:val="00EE1922"/>
    <w:rsid w:val="00EE694C"/>
    <w:rsid w:val="00EE6D11"/>
    <w:rsid w:val="00EF35A6"/>
    <w:rsid w:val="00EF3FA1"/>
    <w:rsid w:val="00EF4531"/>
    <w:rsid w:val="00EF4BA9"/>
    <w:rsid w:val="00EF6189"/>
    <w:rsid w:val="00F00488"/>
    <w:rsid w:val="00F04558"/>
    <w:rsid w:val="00F0469D"/>
    <w:rsid w:val="00F04DA4"/>
    <w:rsid w:val="00F050CC"/>
    <w:rsid w:val="00F05CCE"/>
    <w:rsid w:val="00F05FE8"/>
    <w:rsid w:val="00F06DA8"/>
    <w:rsid w:val="00F10C26"/>
    <w:rsid w:val="00F12340"/>
    <w:rsid w:val="00F14777"/>
    <w:rsid w:val="00F1575E"/>
    <w:rsid w:val="00F16BFA"/>
    <w:rsid w:val="00F20732"/>
    <w:rsid w:val="00F22B76"/>
    <w:rsid w:val="00F237CE"/>
    <w:rsid w:val="00F241BC"/>
    <w:rsid w:val="00F24F24"/>
    <w:rsid w:val="00F26228"/>
    <w:rsid w:val="00F30D3B"/>
    <w:rsid w:val="00F3145D"/>
    <w:rsid w:val="00F320E9"/>
    <w:rsid w:val="00F32863"/>
    <w:rsid w:val="00F34381"/>
    <w:rsid w:val="00F3565D"/>
    <w:rsid w:val="00F3621E"/>
    <w:rsid w:val="00F3747F"/>
    <w:rsid w:val="00F402E3"/>
    <w:rsid w:val="00F40489"/>
    <w:rsid w:val="00F424A1"/>
    <w:rsid w:val="00F4299C"/>
    <w:rsid w:val="00F43AD9"/>
    <w:rsid w:val="00F43E0F"/>
    <w:rsid w:val="00F44112"/>
    <w:rsid w:val="00F441B8"/>
    <w:rsid w:val="00F47FBC"/>
    <w:rsid w:val="00F51701"/>
    <w:rsid w:val="00F51DF2"/>
    <w:rsid w:val="00F52246"/>
    <w:rsid w:val="00F53083"/>
    <w:rsid w:val="00F5360F"/>
    <w:rsid w:val="00F539DA"/>
    <w:rsid w:val="00F54E98"/>
    <w:rsid w:val="00F54FD0"/>
    <w:rsid w:val="00F56092"/>
    <w:rsid w:val="00F6049A"/>
    <w:rsid w:val="00F60E90"/>
    <w:rsid w:val="00F62AEF"/>
    <w:rsid w:val="00F63AC9"/>
    <w:rsid w:val="00F6479A"/>
    <w:rsid w:val="00F671D7"/>
    <w:rsid w:val="00F677A1"/>
    <w:rsid w:val="00F67C17"/>
    <w:rsid w:val="00F67DD8"/>
    <w:rsid w:val="00F71466"/>
    <w:rsid w:val="00F72472"/>
    <w:rsid w:val="00F73351"/>
    <w:rsid w:val="00F73633"/>
    <w:rsid w:val="00F73867"/>
    <w:rsid w:val="00F7648A"/>
    <w:rsid w:val="00F77DC4"/>
    <w:rsid w:val="00F8045F"/>
    <w:rsid w:val="00F80977"/>
    <w:rsid w:val="00F812BD"/>
    <w:rsid w:val="00F82F10"/>
    <w:rsid w:val="00F853EE"/>
    <w:rsid w:val="00F86907"/>
    <w:rsid w:val="00F86FB3"/>
    <w:rsid w:val="00F875AB"/>
    <w:rsid w:val="00F87E52"/>
    <w:rsid w:val="00F927FD"/>
    <w:rsid w:val="00F93A8C"/>
    <w:rsid w:val="00F94C8F"/>
    <w:rsid w:val="00F962C2"/>
    <w:rsid w:val="00F96AC4"/>
    <w:rsid w:val="00F977C5"/>
    <w:rsid w:val="00FA0E96"/>
    <w:rsid w:val="00FA3B72"/>
    <w:rsid w:val="00FA468B"/>
    <w:rsid w:val="00FA4955"/>
    <w:rsid w:val="00FA4D13"/>
    <w:rsid w:val="00FA4D75"/>
    <w:rsid w:val="00FA5049"/>
    <w:rsid w:val="00FA67F1"/>
    <w:rsid w:val="00FA6837"/>
    <w:rsid w:val="00FA7C40"/>
    <w:rsid w:val="00FB157C"/>
    <w:rsid w:val="00FB15F3"/>
    <w:rsid w:val="00FB1A2E"/>
    <w:rsid w:val="00FB2670"/>
    <w:rsid w:val="00FB2BDA"/>
    <w:rsid w:val="00FB705C"/>
    <w:rsid w:val="00FB70AA"/>
    <w:rsid w:val="00FC0B2B"/>
    <w:rsid w:val="00FC0BEE"/>
    <w:rsid w:val="00FC1711"/>
    <w:rsid w:val="00FC1822"/>
    <w:rsid w:val="00FC1ABF"/>
    <w:rsid w:val="00FC1D32"/>
    <w:rsid w:val="00FC1DD5"/>
    <w:rsid w:val="00FC2D7D"/>
    <w:rsid w:val="00FC556D"/>
    <w:rsid w:val="00FC5607"/>
    <w:rsid w:val="00FC56BC"/>
    <w:rsid w:val="00FC641F"/>
    <w:rsid w:val="00FC7A11"/>
    <w:rsid w:val="00FD01AE"/>
    <w:rsid w:val="00FD5ECD"/>
    <w:rsid w:val="00FD6975"/>
    <w:rsid w:val="00FE2BEC"/>
    <w:rsid w:val="00FE37AA"/>
    <w:rsid w:val="00FF2318"/>
    <w:rsid w:val="00FF3267"/>
    <w:rsid w:val="00FF4ACB"/>
    <w:rsid w:val="00FF54DA"/>
    <w:rsid w:val="00FF6B19"/>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0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3088"/>
    <w:pPr>
      <w:tabs>
        <w:tab w:val="center" w:pos="4320"/>
        <w:tab w:val="right" w:pos="8640"/>
      </w:tabs>
    </w:pPr>
  </w:style>
  <w:style w:type="paragraph" w:styleId="Footer">
    <w:name w:val="footer"/>
    <w:basedOn w:val="Normal"/>
    <w:rsid w:val="00E43088"/>
    <w:pPr>
      <w:tabs>
        <w:tab w:val="center" w:pos="4320"/>
        <w:tab w:val="right" w:pos="8640"/>
      </w:tabs>
    </w:pPr>
  </w:style>
  <w:style w:type="character" w:styleId="CommentReference">
    <w:name w:val="annotation reference"/>
    <w:semiHidden/>
    <w:rsid w:val="006E32FC"/>
    <w:rPr>
      <w:sz w:val="16"/>
      <w:szCs w:val="16"/>
    </w:rPr>
  </w:style>
  <w:style w:type="paragraph" w:styleId="CommentText">
    <w:name w:val="annotation text"/>
    <w:basedOn w:val="Normal"/>
    <w:link w:val="CommentTextChar"/>
    <w:semiHidden/>
    <w:rsid w:val="006E32FC"/>
    <w:rPr>
      <w:sz w:val="20"/>
      <w:szCs w:val="20"/>
    </w:rPr>
  </w:style>
  <w:style w:type="paragraph" w:styleId="BalloonText">
    <w:name w:val="Balloon Text"/>
    <w:basedOn w:val="Normal"/>
    <w:semiHidden/>
    <w:rsid w:val="009021BA"/>
    <w:rPr>
      <w:rFonts w:ascii="Tahoma" w:hAnsi="Tahoma" w:cs="Tahoma"/>
      <w:sz w:val="16"/>
      <w:szCs w:val="16"/>
    </w:rPr>
  </w:style>
  <w:style w:type="paragraph" w:styleId="CommentSubject">
    <w:name w:val="annotation subject"/>
    <w:basedOn w:val="CommentText"/>
    <w:next w:val="CommentText"/>
    <w:semiHidden/>
    <w:rsid w:val="004F35DF"/>
    <w:rPr>
      <w:b/>
      <w:bCs/>
    </w:rPr>
  </w:style>
  <w:style w:type="character" w:styleId="Hyperlink">
    <w:name w:val="Hyperlink"/>
    <w:rsid w:val="0051529B"/>
    <w:rPr>
      <w:color w:val="0000FF"/>
      <w:u w:val="single"/>
    </w:rPr>
  </w:style>
  <w:style w:type="character" w:styleId="FollowedHyperlink">
    <w:name w:val="FollowedHyperlink"/>
    <w:rsid w:val="00F14777"/>
    <w:rPr>
      <w:color w:val="800080"/>
      <w:u w:val="single"/>
    </w:rPr>
  </w:style>
  <w:style w:type="character" w:styleId="FootnoteReference">
    <w:name w:val="footnote reference"/>
    <w:semiHidden/>
    <w:rsid w:val="00150BFF"/>
    <w:rPr>
      <w:vertAlign w:val="superscript"/>
    </w:rPr>
  </w:style>
  <w:style w:type="paragraph" w:styleId="FootnoteText">
    <w:name w:val="footnote text"/>
    <w:basedOn w:val="Normal"/>
    <w:rsid w:val="00303EA8"/>
    <w:rPr>
      <w:sz w:val="20"/>
      <w:szCs w:val="20"/>
    </w:rPr>
  </w:style>
  <w:style w:type="character" w:customStyle="1" w:styleId="CommentTextChar">
    <w:name w:val="Comment Text Char"/>
    <w:link w:val="CommentText"/>
    <w:semiHidden/>
    <w:rsid w:val="00720242"/>
  </w:style>
  <w:style w:type="paragraph" w:styleId="Revision">
    <w:name w:val="Revision"/>
    <w:hidden/>
    <w:uiPriority w:val="99"/>
    <w:semiHidden/>
    <w:rsid w:val="00A90960"/>
    <w:rPr>
      <w:sz w:val="24"/>
      <w:szCs w:val="24"/>
    </w:rPr>
  </w:style>
  <w:style w:type="table" w:styleId="TableGrid">
    <w:name w:val="Table Grid"/>
    <w:basedOn w:val="TableNormal"/>
    <w:rsid w:val="003D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0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3088"/>
    <w:pPr>
      <w:tabs>
        <w:tab w:val="center" w:pos="4320"/>
        <w:tab w:val="right" w:pos="8640"/>
      </w:tabs>
    </w:pPr>
  </w:style>
  <w:style w:type="paragraph" w:styleId="Footer">
    <w:name w:val="footer"/>
    <w:basedOn w:val="Normal"/>
    <w:rsid w:val="00E43088"/>
    <w:pPr>
      <w:tabs>
        <w:tab w:val="center" w:pos="4320"/>
        <w:tab w:val="right" w:pos="8640"/>
      </w:tabs>
    </w:pPr>
  </w:style>
  <w:style w:type="character" w:styleId="CommentReference">
    <w:name w:val="annotation reference"/>
    <w:semiHidden/>
    <w:rsid w:val="006E32FC"/>
    <w:rPr>
      <w:sz w:val="16"/>
      <w:szCs w:val="16"/>
    </w:rPr>
  </w:style>
  <w:style w:type="paragraph" w:styleId="CommentText">
    <w:name w:val="annotation text"/>
    <w:basedOn w:val="Normal"/>
    <w:link w:val="CommentTextChar"/>
    <w:semiHidden/>
    <w:rsid w:val="006E32FC"/>
    <w:rPr>
      <w:sz w:val="20"/>
      <w:szCs w:val="20"/>
    </w:rPr>
  </w:style>
  <w:style w:type="paragraph" w:styleId="BalloonText">
    <w:name w:val="Balloon Text"/>
    <w:basedOn w:val="Normal"/>
    <w:semiHidden/>
    <w:rsid w:val="009021BA"/>
    <w:rPr>
      <w:rFonts w:ascii="Tahoma" w:hAnsi="Tahoma" w:cs="Tahoma"/>
      <w:sz w:val="16"/>
      <w:szCs w:val="16"/>
    </w:rPr>
  </w:style>
  <w:style w:type="paragraph" w:styleId="CommentSubject">
    <w:name w:val="annotation subject"/>
    <w:basedOn w:val="CommentText"/>
    <w:next w:val="CommentText"/>
    <w:semiHidden/>
    <w:rsid w:val="004F35DF"/>
    <w:rPr>
      <w:b/>
      <w:bCs/>
    </w:rPr>
  </w:style>
  <w:style w:type="character" w:styleId="Hyperlink">
    <w:name w:val="Hyperlink"/>
    <w:rsid w:val="0051529B"/>
    <w:rPr>
      <w:color w:val="0000FF"/>
      <w:u w:val="single"/>
    </w:rPr>
  </w:style>
  <w:style w:type="character" w:styleId="FollowedHyperlink">
    <w:name w:val="FollowedHyperlink"/>
    <w:rsid w:val="00F14777"/>
    <w:rPr>
      <w:color w:val="800080"/>
      <w:u w:val="single"/>
    </w:rPr>
  </w:style>
  <w:style w:type="character" w:styleId="FootnoteReference">
    <w:name w:val="footnote reference"/>
    <w:semiHidden/>
    <w:rsid w:val="00150BFF"/>
    <w:rPr>
      <w:vertAlign w:val="superscript"/>
    </w:rPr>
  </w:style>
  <w:style w:type="paragraph" w:styleId="FootnoteText">
    <w:name w:val="footnote text"/>
    <w:basedOn w:val="Normal"/>
    <w:rsid w:val="00303EA8"/>
    <w:rPr>
      <w:sz w:val="20"/>
      <w:szCs w:val="20"/>
    </w:rPr>
  </w:style>
  <w:style w:type="character" w:customStyle="1" w:styleId="CommentTextChar">
    <w:name w:val="Comment Text Char"/>
    <w:link w:val="CommentText"/>
    <w:semiHidden/>
    <w:rsid w:val="00720242"/>
  </w:style>
  <w:style w:type="paragraph" w:styleId="Revision">
    <w:name w:val="Revision"/>
    <w:hidden/>
    <w:uiPriority w:val="99"/>
    <w:semiHidden/>
    <w:rsid w:val="00A90960"/>
    <w:rPr>
      <w:sz w:val="24"/>
      <w:szCs w:val="24"/>
    </w:rPr>
  </w:style>
  <w:style w:type="table" w:styleId="TableGrid">
    <w:name w:val="Table Grid"/>
    <w:basedOn w:val="TableNormal"/>
    <w:rsid w:val="003D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7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zdeq.gov/environ/water/permits/download/blaney.pdf" TargetMode="External"/><Relationship Id="rId18" Type="http://schemas.openxmlformats.org/officeDocument/2006/relationships/hyperlink" Target="http://www.azsos.gov/public_services/Title_18/18-11.ht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azleg.state.az.us/FormatDocument.asp?inDoc=/ars/49/00250.htm&amp;Title=49&amp;DocType=ARS" TargetMode="External"/><Relationship Id="rId7" Type="http://schemas.openxmlformats.org/officeDocument/2006/relationships/webSettings" Target="webSettings.xml"/><Relationship Id="rId12" Type="http://schemas.openxmlformats.org/officeDocument/2006/relationships/hyperlink" Target="http://www.azdeq.gov/environ/water/wastewater/download/badctmanual.pdf" TargetMode="External"/><Relationship Id="rId17" Type="http://schemas.openxmlformats.org/officeDocument/2006/relationships/hyperlink" Target="http://www.azleg.gov/FormatDocument.asp?inDoc=/ars/49/00244.htm&amp;Title=49&amp;DocType=ARS"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azdeq.gov/environ/waste/sps/download/gpli.pdf" TargetMode="External"/><Relationship Id="rId20" Type="http://schemas.openxmlformats.org/officeDocument/2006/relationships/hyperlink" Target="http://www.azsos.gov/public_services/Title_18/18-07.pdf" TargetMode="External"/><Relationship Id="rId29" Type="http://schemas.openxmlformats.org/officeDocument/2006/relationships/customXml" Target="../customXml/item3.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mailto:mg3@azdeq.gov"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azdeq.gov/environ/waste/sps/download/gplm.xls" TargetMode="External"/><Relationship Id="rId23" Type="http://schemas.openxmlformats.org/officeDocument/2006/relationships/hyperlink" Target="http://www.azsos.gov/public_services/Title_18/18-09.pdf" TargetMode="External"/><Relationship Id="rId28" Type="http://schemas.openxmlformats.org/officeDocument/2006/relationships/customXml" Target="../customXml/item2.xml"/><Relationship Id="rId10" Type="http://schemas.openxmlformats.org/officeDocument/2006/relationships/hyperlink" Target="http://www.azdeq.gov/environ/water/permits/app.html" TargetMode="External"/><Relationship Id="rId19" Type="http://schemas.openxmlformats.org/officeDocument/2006/relationships/hyperlink" Target="http://www.azsos.gov/public_services/Title_18/18-09.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zdeq.gov/environ/water/permits/download/blaney.xls" TargetMode="External"/><Relationship Id="rId22" Type="http://schemas.openxmlformats.org/officeDocument/2006/relationships/hyperlink" Target="http://www.azsos.gov/public_services/Title_18/18-09.pdf"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52C16-3F1A-4A19-81B3-0908839E3045}"/>
</file>

<file path=customXml/itemProps2.xml><?xml version="1.0" encoding="utf-8"?>
<ds:datastoreItem xmlns:ds="http://schemas.openxmlformats.org/officeDocument/2006/customXml" ds:itemID="{4D3E59A2-B7C0-4A38-B075-2F700D8B3F6D}"/>
</file>

<file path=customXml/itemProps3.xml><?xml version="1.0" encoding="utf-8"?>
<ds:datastoreItem xmlns:ds="http://schemas.openxmlformats.org/officeDocument/2006/customXml" ds:itemID="{87BBD4CC-FC34-42D1-A898-7753A7ADCCD4}"/>
</file>

<file path=customXml/itemProps4.xml><?xml version="1.0" encoding="utf-8"?>
<ds:datastoreItem xmlns:ds="http://schemas.openxmlformats.org/officeDocument/2006/customXml" ds:itemID="{3714B809-54DB-4E31-BBD8-D5BE19F54CE1}"/>
</file>

<file path=docProps/app.xml><?xml version="1.0" encoding="utf-8"?>
<Properties xmlns="http://schemas.openxmlformats.org/officeDocument/2006/extended-properties" xmlns:vt="http://schemas.openxmlformats.org/officeDocument/2006/docPropsVTypes">
  <Template>Normal</Template>
  <TotalTime>0</TotalTime>
  <Pages>10</Pages>
  <Words>4304</Words>
  <Characters>24535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Permittee:</vt:lpstr>
    </vt:vector>
  </TitlesOfParts>
  <Company>adeq</Company>
  <LinksUpToDate>false</LinksUpToDate>
  <CharactersWithSpaces>28782</CharactersWithSpaces>
  <SharedDoc>false</SharedDoc>
  <HLinks>
    <vt:vector size="72" baseType="variant">
      <vt:variant>
        <vt:i4>4980757</vt:i4>
      </vt:variant>
      <vt:variant>
        <vt:i4>199</vt:i4>
      </vt:variant>
      <vt:variant>
        <vt:i4>0</vt:i4>
      </vt:variant>
      <vt:variant>
        <vt:i4>5</vt:i4>
      </vt:variant>
      <vt:variant>
        <vt:lpwstr>http://www.azdeq.gov/environ/water/permits/download/class.pdf</vt:lpwstr>
      </vt:variant>
      <vt:variant>
        <vt:lpwstr/>
      </vt:variant>
      <vt:variant>
        <vt:i4>7471145</vt:i4>
      </vt:variant>
      <vt:variant>
        <vt:i4>196</vt:i4>
      </vt:variant>
      <vt:variant>
        <vt:i4>0</vt:i4>
      </vt:variant>
      <vt:variant>
        <vt:i4>5</vt:i4>
      </vt:variant>
      <vt:variant>
        <vt:lpwstr>http://www.azdeq.gov/environ/water/permits/download/exemptions.pdf</vt:lpwstr>
      </vt:variant>
      <vt:variant>
        <vt:lpwstr/>
      </vt:variant>
      <vt:variant>
        <vt:i4>4522052</vt:i4>
      </vt:variant>
      <vt:variant>
        <vt:i4>193</vt:i4>
      </vt:variant>
      <vt:variant>
        <vt:i4>0</vt:i4>
      </vt:variant>
      <vt:variant>
        <vt:i4>5</vt:i4>
      </vt:variant>
      <vt:variant>
        <vt:lpwstr>http://www.azsos.gov/public_services/Title_18/18-09.pdf</vt:lpwstr>
      </vt:variant>
      <vt:variant>
        <vt:lpwstr/>
      </vt:variant>
      <vt:variant>
        <vt:i4>5505108</vt:i4>
      </vt:variant>
      <vt:variant>
        <vt:i4>190</vt:i4>
      </vt:variant>
      <vt:variant>
        <vt:i4>0</vt:i4>
      </vt:variant>
      <vt:variant>
        <vt:i4>5</vt:i4>
      </vt:variant>
      <vt:variant>
        <vt:lpwstr>http://www.azsos.gov/public_services/Title_18/18-11.htm</vt:lpwstr>
      </vt:variant>
      <vt:variant>
        <vt:lpwstr/>
      </vt:variant>
      <vt:variant>
        <vt:i4>393224</vt:i4>
      </vt:variant>
      <vt:variant>
        <vt:i4>187</vt:i4>
      </vt:variant>
      <vt:variant>
        <vt:i4>0</vt:i4>
      </vt:variant>
      <vt:variant>
        <vt:i4>5</vt:i4>
      </vt:variant>
      <vt:variant>
        <vt:lpwstr>http://www.azleg.gov/FormatDocument.asp?inDoc=/ars/49/00244.htm&amp;Title=49&amp;DocType=ARS</vt:lpwstr>
      </vt:variant>
      <vt:variant>
        <vt:lpwstr/>
      </vt:variant>
      <vt:variant>
        <vt:i4>7274531</vt:i4>
      </vt:variant>
      <vt:variant>
        <vt:i4>184</vt:i4>
      </vt:variant>
      <vt:variant>
        <vt:i4>0</vt:i4>
      </vt:variant>
      <vt:variant>
        <vt:i4>5</vt:i4>
      </vt:variant>
      <vt:variant>
        <vt:lpwstr>D:\Documents and Settings\rdr\Desktop\Blaney-Criddle (explanation and worksheet)</vt:lpwstr>
      </vt:variant>
      <vt:variant>
        <vt:lpwstr/>
      </vt:variant>
      <vt:variant>
        <vt:i4>7602232</vt:i4>
      </vt:variant>
      <vt:variant>
        <vt:i4>181</vt:i4>
      </vt:variant>
      <vt:variant>
        <vt:i4>0</vt:i4>
      </vt:variant>
      <vt:variant>
        <vt:i4>5</vt:i4>
      </vt:variant>
      <vt:variant>
        <vt:lpwstr>http://www.azdeq.gov/environ/water/permits/download/blaney.pdf</vt:lpwstr>
      </vt:variant>
      <vt:variant>
        <vt:lpwstr/>
      </vt:variant>
      <vt:variant>
        <vt:i4>6160396</vt:i4>
      </vt:variant>
      <vt:variant>
        <vt:i4>178</vt:i4>
      </vt:variant>
      <vt:variant>
        <vt:i4>0</vt:i4>
      </vt:variant>
      <vt:variant>
        <vt:i4>5</vt:i4>
      </vt:variant>
      <vt:variant>
        <vt:lpwstr>http://www.azdeq.gov/environ/water/permits/download/clean.pdf</vt:lpwstr>
      </vt:variant>
      <vt:variant>
        <vt:lpwstr/>
      </vt:variant>
      <vt:variant>
        <vt:i4>7077938</vt:i4>
      </vt:variant>
      <vt:variant>
        <vt:i4>175</vt:i4>
      </vt:variant>
      <vt:variant>
        <vt:i4>0</vt:i4>
      </vt:variant>
      <vt:variant>
        <vt:i4>5</vt:i4>
      </vt:variant>
      <vt:variant>
        <vt:lpwstr>http://www.azdeq.gov/environ/water/wastewater/download/badctmanual.pdf</vt:lpwstr>
      </vt:variant>
      <vt:variant>
        <vt:lpwstr/>
      </vt:variant>
      <vt:variant>
        <vt:i4>3932212</vt:i4>
      </vt:variant>
      <vt:variant>
        <vt:i4>154</vt:i4>
      </vt:variant>
      <vt:variant>
        <vt:i4>0</vt:i4>
      </vt:variant>
      <vt:variant>
        <vt:i4>5</vt:i4>
      </vt:variant>
      <vt:variant>
        <vt:lpwstr>http://www.azdeq.gov/environ/water/permits/app.html</vt:lpwstr>
      </vt:variant>
      <vt:variant>
        <vt:lpwstr/>
      </vt:variant>
      <vt:variant>
        <vt:i4>5832755</vt:i4>
      </vt:variant>
      <vt:variant>
        <vt:i4>21</vt:i4>
      </vt:variant>
      <vt:variant>
        <vt:i4>0</vt:i4>
      </vt:variant>
      <vt:variant>
        <vt:i4>5</vt:i4>
      </vt:variant>
      <vt:variant>
        <vt:lpwstr>mailto:mg3@azdeq.gov</vt:lpwstr>
      </vt:variant>
      <vt:variant>
        <vt:lpwstr/>
      </vt:variant>
      <vt:variant>
        <vt:i4>3932212</vt:i4>
      </vt:variant>
      <vt:variant>
        <vt:i4>18</vt:i4>
      </vt:variant>
      <vt:variant>
        <vt:i4>0</vt:i4>
      </vt:variant>
      <vt:variant>
        <vt:i4>5</vt:i4>
      </vt:variant>
      <vt:variant>
        <vt:lpwstr>http://www.azdeq.gov/environ/water/permits/app.html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Permittee:</dc:title>
  <dc:creator>ADEQ</dc:creator>
  <cp:lastModifiedBy>Maribeth E. Greenslade</cp:lastModifiedBy>
  <cp:revision>2</cp:revision>
  <cp:lastPrinted>2014-03-19T17:01:00Z</cp:lastPrinted>
  <dcterms:created xsi:type="dcterms:W3CDTF">2014-12-09T16:09:00Z</dcterms:created>
  <dcterms:modified xsi:type="dcterms:W3CDTF">2014-12-09T16:09:00Z</dcterms:modified>
</cp:coreProperties>
</file>